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default" w:ascii="Arial" w:hAnsi="Arial" w:cs="Arial"/>
          <w:b/>
          <w:bCs/>
          <w:sz w:val="28"/>
          <w:szCs w:val="28"/>
        </w:rPr>
      </w:pPr>
      <w:r>
        <w:rPr>
          <w:rFonts w:hint="default" w:ascii="Arial" w:hAnsi="Arial" w:cs="Arial"/>
          <w:b/>
          <w:bCs/>
          <w:sz w:val="28"/>
          <w:szCs w:val="28"/>
        </w:rPr>
        <w:t>关于全国社会保障基金有关投资业务税收政策的通知</w:t>
      </w:r>
    </w:p>
    <w:p>
      <w:pPr>
        <w:pStyle w:val="2"/>
        <w:keepNext w:val="0"/>
        <w:keepLines w:val="0"/>
        <w:widowControl/>
        <w:suppressLineNumbers w:val="0"/>
        <w:jc w:val="center"/>
        <w:rPr>
          <w:rFonts w:hint="default" w:ascii="Arial" w:hAnsi="Arial" w:cs="Arial"/>
          <w:sz w:val="24"/>
          <w:szCs w:val="24"/>
        </w:rPr>
      </w:pPr>
      <w:r>
        <w:rPr>
          <w:rFonts w:hint="default" w:ascii="Arial" w:hAnsi="Arial" w:cs="Arial"/>
          <w:sz w:val="24"/>
          <w:szCs w:val="24"/>
        </w:rPr>
        <w:t>财税〔2018〕94号</w:t>
      </w:r>
    </w:p>
    <w:p>
      <w:pPr>
        <w:pStyle w:val="2"/>
        <w:keepNext w:val="0"/>
        <w:keepLines w:val="0"/>
        <w:widowControl/>
        <w:suppressLineNumbers w:val="0"/>
        <w:rPr>
          <w:rFonts w:hint="default" w:ascii="Arial" w:hAnsi="Arial" w:cs="Arial"/>
          <w:sz w:val="24"/>
          <w:szCs w:val="24"/>
        </w:rPr>
      </w:pPr>
      <w:r>
        <w:rPr>
          <w:rFonts w:hint="default" w:ascii="Arial" w:hAnsi="Arial" w:cs="Arial"/>
          <w:sz w:val="24"/>
          <w:szCs w:val="24"/>
        </w:rPr>
        <w:t>　　各省、自治区、直辖市、计划单列市财政厅(局)，国家税务总局各省、自治区、直辖市、计划单列市税务局，新疆生产建设兵团财政局：</w:t>
      </w:r>
    </w:p>
    <w:p>
      <w:pPr>
        <w:pStyle w:val="2"/>
        <w:keepNext w:val="0"/>
        <w:keepLines w:val="0"/>
        <w:widowControl/>
        <w:suppressLineNumbers w:val="0"/>
        <w:rPr>
          <w:rFonts w:hint="default" w:ascii="Arial" w:hAnsi="Arial" w:cs="Arial"/>
          <w:sz w:val="24"/>
          <w:szCs w:val="24"/>
        </w:rPr>
      </w:pPr>
      <w:r>
        <w:rPr>
          <w:rFonts w:hint="default" w:ascii="Arial" w:hAnsi="Arial" w:cs="Arial"/>
          <w:sz w:val="24"/>
          <w:szCs w:val="24"/>
        </w:rPr>
        <w:t>　　现将全国社会保障基金理事会(以下简称社保基金会)管理的全国社会保障基金(以下简称社保基金)有关投</w:t>
      </w:r>
      <w:bookmarkStart w:id="0" w:name="_GoBack"/>
      <w:bookmarkEnd w:id="0"/>
      <w:r>
        <w:rPr>
          <w:rFonts w:hint="default" w:ascii="Arial" w:hAnsi="Arial" w:cs="Arial"/>
          <w:sz w:val="24"/>
          <w:szCs w:val="24"/>
        </w:rPr>
        <w:t>资业务税收政策通知如下：</w:t>
      </w:r>
    </w:p>
    <w:p>
      <w:pPr>
        <w:pStyle w:val="2"/>
        <w:keepNext w:val="0"/>
        <w:keepLines w:val="0"/>
        <w:widowControl/>
        <w:suppressLineNumbers w:val="0"/>
        <w:rPr>
          <w:rFonts w:hint="default" w:ascii="Arial" w:hAnsi="Arial" w:cs="Arial"/>
          <w:sz w:val="24"/>
          <w:szCs w:val="24"/>
        </w:rPr>
      </w:pPr>
      <w:r>
        <w:rPr>
          <w:rFonts w:hint="default" w:ascii="Arial" w:hAnsi="Arial" w:cs="Arial"/>
          <w:sz w:val="24"/>
          <w:szCs w:val="24"/>
        </w:rPr>
        <w:t>　　一、对社保基金会、社保基金投资管理人在运用社保基金投资过程中,提供贷款服务取得的全部利息及利息性质的收入和金融商品转让收入，免征增值税。</w:t>
      </w:r>
    </w:p>
    <w:p>
      <w:pPr>
        <w:pStyle w:val="2"/>
        <w:keepNext w:val="0"/>
        <w:keepLines w:val="0"/>
        <w:widowControl/>
        <w:suppressLineNumbers w:val="0"/>
        <w:rPr>
          <w:rFonts w:hint="default" w:ascii="Arial" w:hAnsi="Arial" w:cs="Arial"/>
          <w:sz w:val="24"/>
          <w:szCs w:val="24"/>
        </w:rPr>
      </w:pPr>
      <w:r>
        <w:rPr>
          <w:rFonts w:hint="default" w:ascii="Arial" w:hAnsi="Arial" w:cs="Arial"/>
          <w:sz w:val="24"/>
          <w:szCs w:val="24"/>
        </w:rPr>
        <w:t>　　二、对社保基金取得的直接股权投资收益、股权投资基金收益，作为企业所得税不征税收入。</w:t>
      </w:r>
    </w:p>
    <w:p>
      <w:pPr>
        <w:pStyle w:val="2"/>
        <w:keepNext w:val="0"/>
        <w:keepLines w:val="0"/>
        <w:widowControl/>
        <w:suppressLineNumbers w:val="0"/>
        <w:rPr>
          <w:rFonts w:hint="default" w:ascii="Arial" w:hAnsi="Arial" w:cs="Arial"/>
          <w:sz w:val="24"/>
          <w:szCs w:val="24"/>
        </w:rPr>
      </w:pPr>
      <w:r>
        <w:rPr>
          <w:rFonts w:hint="default" w:ascii="Arial" w:hAnsi="Arial" w:cs="Arial"/>
          <w:sz w:val="24"/>
          <w:szCs w:val="24"/>
        </w:rPr>
        <w:t>　　三、对社保基金会、社保基金投资管理人管理的社保基金转让非上市公司股权，免征社保基金会、社保基金投资管理人应缴纳的印花税。</w:t>
      </w:r>
    </w:p>
    <w:p>
      <w:pPr>
        <w:pStyle w:val="2"/>
        <w:keepNext w:val="0"/>
        <w:keepLines w:val="0"/>
        <w:widowControl/>
        <w:suppressLineNumbers w:val="0"/>
        <w:rPr>
          <w:rFonts w:hint="default" w:ascii="Arial" w:hAnsi="Arial" w:cs="Arial"/>
          <w:sz w:val="24"/>
          <w:szCs w:val="24"/>
        </w:rPr>
      </w:pPr>
      <w:r>
        <w:rPr>
          <w:rFonts w:hint="default" w:ascii="Arial" w:hAnsi="Arial" w:cs="Arial"/>
          <w:sz w:val="24"/>
          <w:szCs w:val="24"/>
        </w:rPr>
        <w:t>　　四、本通知自发布之日起执行。通知发布前发生的社保基金有关投资业务，符合本通知规定且未缴纳相关税款的，按本通知执行;已缴纳的相关税款，不再退还。</w:t>
      </w:r>
    </w:p>
    <w:p>
      <w:pPr>
        <w:pStyle w:val="2"/>
        <w:keepNext w:val="0"/>
        <w:keepLines w:val="0"/>
        <w:widowControl/>
        <w:suppressLineNumbers w:val="0"/>
        <w:jc w:val="right"/>
        <w:rPr>
          <w:rFonts w:hint="default" w:ascii="Arial" w:hAnsi="Arial" w:cs="Arial"/>
          <w:sz w:val="24"/>
          <w:szCs w:val="24"/>
        </w:rPr>
      </w:pPr>
      <w:r>
        <w:rPr>
          <w:rFonts w:hint="default" w:ascii="Arial" w:hAnsi="Arial" w:cs="Arial"/>
          <w:sz w:val="24"/>
          <w:szCs w:val="24"/>
        </w:rPr>
        <w:t>　　财政部 税务总局</w:t>
      </w:r>
    </w:p>
    <w:p>
      <w:pPr>
        <w:pStyle w:val="2"/>
        <w:keepNext w:val="0"/>
        <w:keepLines w:val="0"/>
        <w:widowControl/>
        <w:suppressLineNumbers w:val="0"/>
        <w:jc w:val="right"/>
        <w:rPr>
          <w:rFonts w:hint="default" w:ascii="Arial" w:hAnsi="Arial" w:cs="Arial"/>
          <w:b/>
          <w:bCs/>
          <w:sz w:val="24"/>
          <w:szCs w:val="24"/>
        </w:rPr>
      </w:pPr>
      <w:r>
        <w:rPr>
          <w:rFonts w:hint="default" w:ascii="Arial" w:hAnsi="Arial" w:cs="Arial"/>
          <w:sz w:val="24"/>
          <w:szCs w:val="24"/>
        </w:rPr>
        <w:t>　　2018年9月10日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Yu Gothic">
    <w:panose1 w:val="020B0400000000000000"/>
    <w:charset w:val="80"/>
    <w:family w:val="auto"/>
    <w:pitch w:val="default"/>
    <w:sig w:usb0="E00002FF" w:usb1="2AC7FDFF" w:usb2="00000016" w:usb3="00000000" w:csb0="2002009F"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72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洛神红茶1424156210</cp:lastModifiedBy>
  <dcterms:modified xsi:type="dcterms:W3CDTF">2018-10-30T02:52:11Z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