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ind w:firstLine="546"/>
        <w:jc w:val="center"/>
        <w:rPr>
          <w:rFonts w:hint="default"/>
          <w:lang w:val="en-US" w:eastAsia="zh-CN"/>
        </w:rPr>
      </w:pPr>
    </w:p>
    <w:p>
      <w:pPr>
        <w:spacing w:line="460" w:lineRule="exact"/>
        <w:ind w:firstLine="544"/>
        <w:jc w:val="center"/>
        <w:rPr>
          <w:rFonts w:hint="default" w:ascii="Times New Roman" w:hAnsi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/>
          <w:b/>
          <w:color w:val="auto"/>
          <w:sz w:val="32"/>
          <w:szCs w:val="32"/>
          <w:highlight w:val="none"/>
        </w:rPr>
        <w:t>贵州省经济、财政和债务有关数据</w:t>
      </w:r>
    </w:p>
    <w:p>
      <w:pPr>
        <w:spacing w:line="460" w:lineRule="exact"/>
        <w:ind w:firstLine="544"/>
        <w:jc w:val="center"/>
        <w:rPr>
          <w:rFonts w:ascii="Times New Roman" w:hAnsi="Times New Roman"/>
          <w:b/>
          <w:color w:val="auto"/>
          <w:sz w:val="32"/>
          <w:szCs w:val="32"/>
          <w:highlight w:val="none"/>
        </w:rPr>
      </w:pPr>
    </w:p>
    <w:tbl>
      <w:tblPr>
        <w:tblStyle w:val="4"/>
        <w:tblW w:w="9240" w:type="dxa"/>
        <w:tblInd w:w="9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035"/>
        <w:gridCol w:w="105"/>
        <w:gridCol w:w="737"/>
        <w:gridCol w:w="223"/>
        <w:gridCol w:w="501"/>
        <w:gridCol w:w="534"/>
        <w:gridCol w:w="1215"/>
        <w:gridCol w:w="126"/>
        <w:gridCol w:w="1029"/>
        <w:gridCol w:w="11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一、地方经济状况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4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—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年经济基本状况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 目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201</w:t>
            </w: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8年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201</w:t>
            </w: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9年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地区生产总值（亿元）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4806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45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16769.34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7826.56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地区生产总值增速（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%</w:t>
            </w: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9.1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8.3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第一产业（亿元）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159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54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2280.56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2539.88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第二产业（亿元）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755.54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6058.45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6211.62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第三产业（亿元）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891.37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8430.33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9075.07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产业结构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第一产业（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%</w:t>
            </w: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14.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13.6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14.2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第二产业（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%</w:t>
            </w: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38.9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36.1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34.8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第三产业（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%</w:t>
            </w: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46.5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50.3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50.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固定资产投资（亿元）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- 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- 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-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进出口总额（亿元）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00.92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453.57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546.52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出口额（亿元）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337.58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327.14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431.65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进口额（亿元）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163.34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126.43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14.87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社会消费品零售总额（亿元）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3971.21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- 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-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城镇（常住）居民人均可支配收入（元）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31592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34404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6096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农村（常住）居民人均可支配收入（元）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9716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10756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11642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居民消费价格指数（上年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=100</w:t>
            </w: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101.8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102.4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102.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工业生产者出厂价格指数（上年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=100</w:t>
            </w: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101.8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99.8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工业生产者购进价格指数（上年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=100</w:t>
            </w: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10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3.4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99.4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金融机构人民币各项存款余额（亿元）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26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473.34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27170.60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28276.31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金融机构人民币各项贷款余额（亿元）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4715.05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28448.73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32235.75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二、财政收支状况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(</w:t>
            </w: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亿元）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4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（一）近三年一般公共预算收支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 目</w:t>
            </w:r>
          </w:p>
        </w:tc>
        <w:tc>
          <w:tcPr>
            <w:tcW w:w="210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省本级</w:t>
            </w:r>
          </w:p>
        </w:tc>
        <w:tc>
          <w:tcPr>
            <w:tcW w:w="10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全省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省本级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全省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省本级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全省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一般公共预算收入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341.47</w:t>
            </w:r>
          </w:p>
        </w:tc>
        <w:tc>
          <w:tcPr>
            <w:tcW w:w="10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1726.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85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449.39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1767.47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470.73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17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86.78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一般公共预算支出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948.12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5029.68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1423.58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5948.74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1164.12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5723.27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地方政府一般债券收入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360.1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1327.14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408.41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971.94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251.42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990.86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地方政府一般债券还本支出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321.12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1340.80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90.69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498.7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53.42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779.66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转移性收入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2968.17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2968.17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3036.91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3036.91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3258.6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3258.6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转移性支出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2471.42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2600.11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2893.51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4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（二）近三年政府性基金预算收支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政府性基金收入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48.41</w:t>
            </w:r>
          </w:p>
        </w:tc>
        <w:tc>
          <w:tcPr>
            <w:tcW w:w="10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1249.89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42.48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1710.95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131.8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2047.12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政府性基金支出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9.57</w:t>
            </w:r>
          </w:p>
        </w:tc>
        <w:tc>
          <w:tcPr>
            <w:tcW w:w="10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1081.94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48.79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1346.91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233.27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2829.72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地方政府专项债券收入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103.7</w:t>
            </w:r>
          </w:p>
        </w:tc>
        <w:tc>
          <w:tcPr>
            <w:tcW w:w="10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827.03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378.6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1535.3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1535.94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地方政府专项债券还本支出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103.7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871.97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-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372.05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40.9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556.94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4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（三）近三年国有资本经营预算收支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国有资本经营收入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47.91</w:t>
            </w:r>
          </w:p>
        </w:tc>
        <w:tc>
          <w:tcPr>
            <w:tcW w:w="10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-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67.64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97.95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240.39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340.65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国有资本经营支出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47.91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30.84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58.3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141.4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224.89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4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三、地方政府债务情况（亿元）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1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kern w:val="0"/>
                <w:sz w:val="20"/>
                <w:szCs w:val="20"/>
                <w:highlight w:val="none"/>
              </w:rPr>
              <w:t>截至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/>
                <w:kern w:val="0"/>
                <w:sz w:val="20"/>
                <w:szCs w:val="20"/>
                <w:highlight w:val="none"/>
              </w:rPr>
              <w:t>年底地方政府债务余额</w:t>
            </w:r>
          </w:p>
        </w:tc>
        <w:tc>
          <w:tcPr>
            <w:tcW w:w="47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0989.02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1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/>
                <w:kern w:val="0"/>
                <w:sz w:val="20"/>
                <w:szCs w:val="20"/>
                <w:highlight w:val="none"/>
              </w:rPr>
              <w:t>年地方政府债务限额</w:t>
            </w:r>
          </w:p>
        </w:tc>
        <w:tc>
          <w:tcPr>
            <w:tcW w:w="47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9361.50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1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/>
                <w:kern w:val="0"/>
                <w:sz w:val="20"/>
                <w:szCs w:val="20"/>
                <w:highlight w:val="none"/>
              </w:rPr>
              <w:t>年地方政府债务限额</w:t>
            </w:r>
          </w:p>
        </w:tc>
        <w:tc>
          <w:tcPr>
            <w:tcW w:w="47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kern w:val="0"/>
                <w:sz w:val="24"/>
                <w:highlight w:val="none"/>
              </w:rPr>
              <w:t>10193.34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51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/>
                <w:kern w:val="0"/>
                <w:sz w:val="20"/>
                <w:szCs w:val="20"/>
                <w:highlight w:val="none"/>
              </w:rPr>
              <w:t>年地方政府债务限额</w:t>
            </w:r>
          </w:p>
        </w:tc>
        <w:tc>
          <w:tcPr>
            <w:tcW w:w="4729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1658.35</w:t>
            </w:r>
          </w:p>
        </w:tc>
      </w:tr>
    </w:tbl>
    <w:p>
      <w:pPr>
        <w:spacing w:line="320" w:lineRule="exact"/>
        <w:ind w:left="0" w:leftChars="0" w:right="-932" w:rightChars="-444" w:firstLine="0" w:firstLineChars="0"/>
        <w:rPr>
          <w:rFonts w:hint="default" w:ascii="Times New Roman" w:hAnsi="Times New Roman" w:eastAsia="仿宋_GB2312" w:cs="Times New Roman"/>
          <w:sz w:val="18"/>
          <w:highlight w:val="none"/>
        </w:rPr>
      </w:pPr>
      <w:r>
        <w:rPr>
          <w:rFonts w:hint="default" w:ascii="Times New Roman" w:hAnsi="Times New Roman" w:eastAsia="仿宋_GB2312"/>
          <w:sz w:val="18"/>
          <w:highlight w:val="none"/>
        </w:rPr>
        <w:t>数据来源：</w:t>
      </w:r>
      <w:r>
        <w:rPr>
          <w:rFonts w:hint="eastAsia" w:ascii="Times New Roman" w:hAnsi="Times New Roman" w:eastAsia="仿宋_GB2312" w:cs="Times New Roman"/>
          <w:sz w:val="18"/>
          <w:highlight w:val="none"/>
          <w:lang w:val="en-US" w:eastAsia="zh-CN"/>
        </w:rPr>
        <w:t>2018—</w:t>
      </w:r>
      <w:r>
        <w:rPr>
          <w:rFonts w:hint="default" w:ascii="Times New Roman" w:hAnsi="Times New Roman" w:eastAsia="仿宋_GB2312"/>
          <w:sz w:val="18"/>
          <w:szCs w:val="18"/>
          <w:highlight w:val="none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  <w:lang w:val="en-US" w:eastAsia="zh-CN"/>
        </w:rPr>
        <w:t>贵州省</w:t>
      </w:r>
      <w:r>
        <w:rPr>
          <w:rFonts w:hint="default" w:ascii="Times New Roman" w:hAnsi="Times New Roman" w:eastAsia="仿宋_GB2312"/>
          <w:sz w:val="18"/>
          <w:szCs w:val="18"/>
          <w:highlight w:val="none"/>
          <w:lang w:val="en-US" w:eastAsia="zh-CN"/>
        </w:rPr>
        <w:t>财政决算报告及相关表格</w:t>
      </w:r>
      <w:r>
        <w:rPr>
          <w:rFonts w:hint="default" w:ascii="Times New Roman" w:hAnsi="Times New Roman" w:eastAsia="仿宋_GB2312"/>
          <w:sz w:val="18"/>
          <w:highlight w:val="none"/>
        </w:rPr>
        <w:t>、《201</w:t>
      </w:r>
      <w:r>
        <w:rPr>
          <w:rFonts w:hint="default" w:ascii="Times New Roman" w:hAnsi="Times New Roman" w:eastAsia="仿宋_GB2312"/>
          <w:sz w:val="1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/>
          <w:sz w:val="18"/>
          <w:highlight w:val="none"/>
        </w:rPr>
        <w:t>年贵州统计年鉴》、《201</w:t>
      </w:r>
      <w:r>
        <w:rPr>
          <w:rFonts w:hint="default" w:ascii="Times New Roman" w:hAnsi="Times New Roman" w:eastAsia="仿宋_GB2312"/>
          <w:sz w:val="1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/>
          <w:sz w:val="18"/>
          <w:highlight w:val="none"/>
        </w:rPr>
        <w:t>年贵州统计年鉴》、</w:t>
      </w:r>
    </w:p>
    <w:p>
      <w:pPr>
        <w:spacing w:line="320" w:lineRule="exact"/>
        <w:ind w:left="0" w:leftChars="0" w:right="-932" w:rightChars="-444" w:firstLine="900" w:firstLineChars="500"/>
        <w:rPr>
          <w:rFonts w:hint="default" w:ascii="Times New Roman" w:hAnsi="Times New Roman" w:eastAsia="仿宋_GB2312" w:cs="Times New Roman"/>
          <w:sz w:val="18"/>
          <w:highlight w:val="none"/>
        </w:rPr>
      </w:pPr>
      <w:r>
        <w:rPr>
          <w:rFonts w:hint="default" w:ascii="Times New Roman" w:hAnsi="Times New Roman" w:eastAsia="仿宋_GB2312"/>
          <w:sz w:val="18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18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/>
          <w:sz w:val="18"/>
          <w:highlight w:val="none"/>
        </w:rPr>
        <w:t>年12月贵州统计月报</w:t>
      </w:r>
      <w:r>
        <w:rPr>
          <w:rFonts w:hint="eastAsia" w:ascii="Times New Roman" w:hAnsi="Times New Roman" w:eastAsia="仿宋_GB2312" w:cs="Times New Roman"/>
          <w:sz w:val="1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18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  <w:lang w:val="en-US" w:eastAsia="zh-CN"/>
        </w:rPr>
        <w:t>贵州省2020年预算执行情况和2021年预算草案的报告》</w:t>
      </w:r>
      <w:r>
        <w:rPr>
          <w:rFonts w:hint="default" w:ascii="Times New Roman" w:hAnsi="Times New Roman" w:eastAsia="仿宋_GB2312"/>
          <w:sz w:val="18"/>
          <w:szCs w:val="18"/>
          <w:highlight w:val="none"/>
        </w:rPr>
        <w:t>。</w:t>
      </w:r>
    </w:p>
    <w:p>
      <w:pPr>
        <w:spacing w:line="320" w:lineRule="exact"/>
        <w:ind w:left="0" w:leftChars="0" w:right="-932" w:rightChars="-444" w:firstLine="0" w:firstLineChars="0"/>
        <w:rPr>
          <w:rFonts w:hint="default" w:ascii="Times New Roman" w:hAnsi="Times New Roman" w:eastAsia="仿宋_GB2312" w:cs="Times New Roman"/>
          <w:sz w:val="18"/>
          <w:highlight w:val="none"/>
        </w:rPr>
      </w:pPr>
    </w:p>
    <w:p>
      <w:pPr>
        <w:rPr>
          <w:rFonts w:hint="eastAsia" w:ascii="Calibri" w:eastAsia="宋体"/>
          <w:sz w:val="21"/>
          <w:szCs w:val="24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F4E49"/>
    <w:rsid w:val="180D1B73"/>
    <w:rsid w:val="1B7B55ED"/>
    <w:rsid w:val="1C6F4E49"/>
    <w:rsid w:val="1F0D2B99"/>
    <w:rsid w:val="20E04DC5"/>
    <w:rsid w:val="23D0782C"/>
    <w:rsid w:val="2B7C7BC6"/>
    <w:rsid w:val="2E5219E4"/>
    <w:rsid w:val="33062430"/>
    <w:rsid w:val="33BF24F0"/>
    <w:rsid w:val="39DE40DF"/>
    <w:rsid w:val="3B2555A7"/>
    <w:rsid w:val="3B345135"/>
    <w:rsid w:val="3D9C24C6"/>
    <w:rsid w:val="4BC80446"/>
    <w:rsid w:val="4F99359C"/>
    <w:rsid w:val="53333074"/>
    <w:rsid w:val="55CF31D1"/>
    <w:rsid w:val="57A34D9D"/>
    <w:rsid w:val="58864EA2"/>
    <w:rsid w:val="5D391B76"/>
    <w:rsid w:val="5D7B30A0"/>
    <w:rsid w:val="5EB8075B"/>
    <w:rsid w:val="609A0DC3"/>
    <w:rsid w:val="615D45A4"/>
    <w:rsid w:val="689076D7"/>
    <w:rsid w:val="6C1C0767"/>
    <w:rsid w:val="707254BD"/>
    <w:rsid w:val="73D539DA"/>
    <w:rsid w:val="76484184"/>
    <w:rsid w:val="7EE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2021-03-24T07:27:00Z</dcterms:created>
  <dc:creator>罗雪</dc:creator>
  <cp:lastModifiedBy>罗雪</cp:lastModifiedBy>
  <dcterms:modified xsi:type="dcterms:W3CDTF">2021-03-25T03:14:25Z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