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pPr w:horzAnchor="margin" w:tblpXSpec="center" w:tblpY="2099"/>
        <w:tblOverlap w:val="never"/>
        <w:tblW w:w="8845" w:type="dxa"/>
        <w:tblInd w:w="0" w:type="dxa"/>
        <w:tblBorders>
          <w:top w:val="none" w:color="auto" w:sz="0" w:space="0"/>
          <w:left w:val="none" w:color="auto" w:sz="0" w:space="0"/>
          <w:bottom w:val="single" w:color="FF0000" w:sz="12"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845"/>
      </w:tblGrid>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8845" w:type="dxa"/>
            <w:noWrap w:val="0"/>
            <w:vAlign w:val="top"/>
          </w:tcPr>
          <w:p>
            <w:pPr>
              <w:spacing w:line="900" w:lineRule="exact"/>
              <w:ind w:left="632" w:leftChars="200" w:right="632" w:rightChars="200"/>
              <w:jc w:val="distribute"/>
              <w:rPr>
                <w:rFonts w:hint="eastAsia" w:ascii="方正小标宋简体" w:eastAsia="方正小标宋简体"/>
                <w:color w:val="FF0000"/>
                <w:sz w:val="84"/>
                <w:szCs w:val="84"/>
              </w:rPr>
            </w:pPr>
            <w:r>
              <w:rPr>
                <w:rFonts w:hint="eastAsia" w:ascii="方正小标宋简体" w:eastAsia="方正小标宋简体"/>
                <w:color w:val="FF0000"/>
                <w:sz w:val="84"/>
                <w:szCs w:val="84"/>
              </w:rPr>
              <w:t>贵州省财政厅文件</w:t>
            </w:r>
          </w:p>
          <w:p>
            <w:pPr>
              <w:spacing w:line="480" w:lineRule="exact"/>
              <w:rPr>
                <w:rFonts w:hint="eastAsia"/>
                <w:color w:val="000000"/>
                <w:szCs w:val="32"/>
              </w:rPr>
            </w:pPr>
          </w:p>
          <w:p>
            <w:pPr>
              <w:spacing w:line="480" w:lineRule="exact"/>
              <w:rPr>
                <w:rFonts w:hint="eastAsia"/>
                <w:color w:val="000000"/>
                <w:szCs w:val="32"/>
              </w:rPr>
            </w:pPr>
          </w:p>
          <w:p>
            <w:pPr>
              <w:spacing w:after="85"/>
              <w:ind w:left="316" w:leftChars="100" w:right="316" w:rightChars="100"/>
              <w:jc w:val="center"/>
              <w:rPr>
                <w:rFonts w:hint="eastAsia" w:ascii="方正小标宋简体" w:eastAsia="方正小标宋简体"/>
                <w:color w:val="FF0000"/>
                <w:szCs w:val="32"/>
              </w:rPr>
            </w:pPr>
            <w:r>
              <w:rPr>
                <w:rFonts w:hint="eastAsia"/>
                <w:color w:val="000000"/>
                <w:szCs w:val="32"/>
              </w:rPr>
              <w:t>黔财金〔202</w:t>
            </w:r>
            <w:r>
              <w:rPr>
                <w:rFonts w:hint="eastAsia"/>
                <w:color w:val="000000"/>
                <w:szCs w:val="32"/>
                <w:lang w:val="en-US" w:eastAsia="zh-CN"/>
              </w:rPr>
              <w:t>4</w:t>
            </w:r>
            <w:r>
              <w:rPr>
                <w:rFonts w:hint="eastAsia"/>
                <w:color w:val="000000"/>
                <w:szCs w:val="32"/>
              </w:rPr>
              <w:t>〕</w:t>
            </w:r>
            <w:r>
              <w:rPr>
                <w:rFonts w:hint="eastAsia"/>
                <w:color w:val="000000"/>
                <w:szCs w:val="32"/>
                <w:highlight w:val="none"/>
                <w:lang w:val="en-US" w:eastAsia="zh-CN"/>
              </w:rPr>
              <w:t>15</w:t>
            </w:r>
            <w:r>
              <w:rPr>
                <w:rFonts w:hint="eastAsia"/>
                <w:color w:val="000000"/>
                <w:szCs w:val="32"/>
              </w:rPr>
              <w:t>号</w:t>
            </w:r>
          </w:p>
        </w:tc>
      </w:tr>
    </w:tbl>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rPr>
          <w:rFonts w:hint="eastAsia" w:hAnsi="黑体"/>
        </w:rPr>
      </w:pP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rPr>
          <w:rFonts w:hint="eastAsia" w:hAnsi="黑体"/>
        </w:rPr>
      </w:pPr>
    </w:p>
    <w:p>
      <w:pPr>
        <w:keepNext w:val="0"/>
        <w:keepLines w:val="0"/>
        <w:pageBreakBefore w:val="0"/>
        <w:widowControl w:val="0"/>
        <w:kinsoku/>
        <w:wordWrap/>
        <w:overflowPunct/>
        <w:topLinePunct w:val="0"/>
        <w:autoSpaceDE/>
        <w:autoSpaceDN/>
        <w:bidi w:val="0"/>
        <w:adjustRightInd/>
        <w:snapToGrid/>
        <w:spacing w:line="640" w:lineRule="exact"/>
        <w:ind w:right="0" w:rightChars="0"/>
        <w:jc w:val="center"/>
        <w:textAlignment w:val="auto"/>
        <w:rPr>
          <w:rFonts w:hint="eastAsia"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lang w:val="en-US" w:eastAsia="zh-CN"/>
        </w:rPr>
        <w:t>贵州省财政厅</w:t>
      </w:r>
      <w:r>
        <w:rPr>
          <w:rFonts w:hint="eastAsia" w:ascii="方正小标宋简体" w:hAnsi="方正小标宋简体" w:eastAsia="方正小标宋简体" w:cs="方正小标宋简体"/>
          <w:sz w:val="44"/>
        </w:rPr>
        <w:t>关于20</w:t>
      </w:r>
      <w:r>
        <w:rPr>
          <w:rFonts w:ascii="方正小标宋简体" w:hAnsi="方正小标宋简体" w:eastAsia="方正小标宋简体" w:cs="方正小标宋简体"/>
          <w:sz w:val="44"/>
        </w:rPr>
        <w:t>2</w:t>
      </w:r>
      <w:r>
        <w:rPr>
          <w:rFonts w:hint="eastAsia" w:ascii="方正小标宋简体" w:hAnsi="方正小标宋简体" w:eastAsia="方正小标宋简体" w:cs="方正小标宋简体"/>
          <w:sz w:val="44"/>
          <w:lang w:val="en-US" w:eastAsia="zh-CN"/>
        </w:rPr>
        <w:t>3</w:t>
      </w:r>
      <w:r>
        <w:rPr>
          <w:rFonts w:hint="eastAsia" w:ascii="方正小标宋简体" w:hAnsi="方正小标宋简体" w:eastAsia="方正小标宋简体" w:cs="方正小标宋简体"/>
          <w:sz w:val="44"/>
        </w:rPr>
        <w:t>年中央财政农业保险</w:t>
      </w:r>
    </w:p>
    <w:p>
      <w:pPr>
        <w:keepNext w:val="0"/>
        <w:keepLines w:val="0"/>
        <w:pageBreakBefore w:val="0"/>
        <w:widowControl w:val="0"/>
        <w:kinsoku/>
        <w:wordWrap/>
        <w:overflowPunct/>
        <w:topLinePunct w:val="0"/>
        <w:autoSpaceDE/>
        <w:autoSpaceDN/>
        <w:bidi w:val="0"/>
        <w:adjustRightInd/>
        <w:snapToGrid/>
        <w:spacing w:line="640" w:lineRule="exact"/>
        <w:ind w:right="0" w:rightChars="0"/>
        <w:jc w:val="center"/>
        <w:textAlignment w:val="auto"/>
        <w:rPr>
          <w:rFonts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保费补贴绩效自评的报告</w:t>
      </w: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rPr>
          <w:rFonts w:hint="eastAsia" w:hAnsi="黑体"/>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rPr>
          <w:rFonts w:hAnsi="仿宋_GB2312" w:cs="仿宋_GB2312"/>
        </w:rPr>
      </w:pPr>
      <w:r>
        <w:rPr>
          <w:rFonts w:hAnsi="仿宋_GB2312" w:cs="仿宋_GB2312"/>
        </w:rPr>
        <w:t>财政部</w:t>
      </w:r>
      <w:r>
        <w:rPr>
          <w:rFonts w:hint="eastAsia" w:hAnsi="仿宋_GB2312" w:cs="仿宋_GB2312"/>
        </w:rPr>
        <w:t>金融司</w:t>
      </w:r>
      <w:r>
        <w:rPr>
          <w:rFonts w:hAnsi="仿宋_GB2312" w:cs="仿宋_GB2312"/>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Ansi="仿宋_GB2312" w:cs="仿宋_GB2312"/>
        </w:rPr>
      </w:pPr>
      <w:r>
        <w:rPr>
          <w:rFonts w:hAnsi="仿宋_GB2312" w:cs="仿宋_GB2312"/>
        </w:rPr>
        <w:t>按照财政部</w:t>
      </w:r>
      <w:r>
        <w:rPr>
          <w:rFonts w:hint="eastAsia"/>
          <w:szCs w:val="32"/>
        </w:rPr>
        <w:t>《中央财政农业保险保费补贴管理办法》（财金〔</w:t>
      </w:r>
      <w:r>
        <w:rPr>
          <w:rFonts w:hint="eastAsia" w:hAnsi="仿宋_GB2312" w:cs="仿宋_GB2312"/>
          <w:bCs/>
          <w:color w:val="000000"/>
        </w:rPr>
        <w:t>2021〕130号）以及绩效评价相关要求，贵州省财政厅高度重视</w:t>
      </w:r>
      <w:r>
        <w:rPr>
          <w:rFonts w:hint="eastAsia" w:hAnsi="仿宋_GB2312" w:cs="仿宋_GB2312"/>
          <w:bCs/>
          <w:color w:val="000000"/>
          <w:lang w:eastAsia="zh-CN"/>
        </w:rPr>
        <w:t>，</w:t>
      </w:r>
      <w:r>
        <w:rPr>
          <w:rFonts w:hint="eastAsia" w:hAnsi="仿宋_GB2312" w:cs="仿宋_GB2312"/>
          <w:bCs/>
          <w:color w:val="000000"/>
        </w:rPr>
        <w:t>认真组织开展了202</w:t>
      </w:r>
      <w:r>
        <w:rPr>
          <w:rFonts w:hint="eastAsia" w:hAnsi="仿宋_GB2312" w:cs="仿宋_GB2312"/>
          <w:bCs/>
          <w:color w:val="000000"/>
          <w:lang w:val="en-US" w:eastAsia="zh-CN"/>
        </w:rPr>
        <w:t>3</w:t>
      </w:r>
      <w:r>
        <w:rPr>
          <w:rFonts w:hint="eastAsia" w:hAnsi="仿宋_GB2312" w:cs="仿宋_GB2312"/>
          <w:bCs/>
          <w:color w:val="000000"/>
        </w:rPr>
        <w:t>年度中央财政农业保险保费补贴绩效自评工作，现将有关</w:t>
      </w:r>
      <w:r>
        <w:rPr>
          <w:rFonts w:hAnsi="仿宋_GB2312" w:cs="仿宋_GB2312"/>
        </w:rPr>
        <w:t>情况报告如下：</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Ansi="仿宋_GB2312" w:cs="仿宋_GB2312"/>
        </w:rPr>
      </w:pPr>
      <w:r>
        <w:rPr>
          <w:rFonts w:ascii="黑体" w:hAnsi="黑体" w:eastAsia="黑体" w:cs="黑体"/>
        </w:rPr>
        <w:t>一、基本情况</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hAnsi="仿宋_GB2312" w:cs="仿宋_GB2312"/>
          <w:bCs/>
          <w:color w:val="000000"/>
        </w:rPr>
      </w:pPr>
      <w:r>
        <w:rPr>
          <w:rFonts w:hAnsi="仿宋_GB2312" w:cs="仿宋_GB2312"/>
        </w:rPr>
        <w:t>202</w:t>
      </w:r>
      <w:r>
        <w:rPr>
          <w:rFonts w:hint="eastAsia" w:hAnsi="仿宋_GB2312" w:cs="仿宋_GB2312"/>
          <w:lang w:val="en-US" w:eastAsia="zh-CN"/>
        </w:rPr>
        <w:t>3</w:t>
      </w:r>
      <w:r>
        <w:rPr>
          <w:rFonts w:hAnsi="仿宋_GB2312" w:cs="仿宋_GB2312"/>
        </w:rPr>
        <w:t>年，</w:t>
      </w:r>
      <w:r>
        <w:rPr>
          <w:rFonts w:hint="eastAsia"/>
          <w:szCs w:val="32"/>
        </w:rPr>
        <w:t>我省坚持</w:t>
      </w:r>
      <w:r>
        <w:rPr>
          <w:rFonts w:hint="eastAsia" w:hAnsi="仿宋_GB2312" w:cs="仿宋_GB2312"/>
          <w:szCs w:val="32"/>
        </w:rPr>
        <w:t>以习近平新时代中国特色社会主义思想为指导，按照中央一号文件、财政部等四部委印发的《加快农业保险高质量发展的指导意见》（财金〔</w:t>
      </w:r>
      <w:r>
        <w:rPr>
          <w:rFonts w:hAnsi="仿宋_GB2312" w:cs="仿宋_GB2312"/>
          <w:szCs w:val="32"/>
        </w:rPr>
        <w:t>2019〕102号）</w:t>
      </w:r>
      <w:r>
        <w:rPr>
          <w:rFonts w:hint="eastAsia" w:hAnsi="仿宋_GB2312" w:cs="仿宋_GB2312"/>
          <w:szCs w:val="32"/>
        </w:rPr>
        <w:t>、</w:t>
      </w:r>
      <w:r>
        <w:rPr>
          <w:rFonts w:hint="eastAsia"/>
          <w:szCs w:val="32"/>
        </w:rPr>
        <w:t>《中央财政农业保险保费补贴管理办法》（财金〔20</w:t>
      </w:r>
      <w:r>
        <w:rPr>
          <w:szCs w:val="32"/>
        </w:rPr>
        <w:t>21</w:t>
      </w:r>
      <w:r>
        <w:rPr>
          <w:rFonts w:hint="eastAsia"/>
          <w:szCs w:val="32"/>
        </w:rPr>
        <w:t>〕1</w:t>
      </w:r>
      <w:r>
        <w:rPr>
          <w:szCs w:val="32"/>
        </w:rPr>
        <w:t>30</w:t>
      </w:r>
      <w:r>
        <w:rPr>
          <w:rFonts w:hint="eastAsia"/>
          <w:szCs w:val="32"/>
        </w:rPr>
        <w:t>号）</w:t>
      </w:r>
      <w:r>
        <w:rPr>
          <w:rFonts w:hint="eastAsia" w:hAnsi="仿宋_GB2312" w:cs="仿宋_GB2312"/>
          <w:szCs w:val="32"/>
        </w:rPr>
        <w:t>等文件精神</w:t>
      </w:r>
      <w:r>
        <w:rPr>
          <w:rFonts w:hint="eastAsia"/>
        </w:rPr>
        <w:t>，</w:t>
      </w:r>
      <w:r>
        <w:rPr>
          <w:rFonts w:hint="eastAsia" w:hAnsi="仿宋_GB2312" w:cs="仿宋_GB2312"/>
          <w:bCs/>
          <w:color w:val="000000"/>
        </w:rPr>
        <w:t>在全省范围内，对符合条件的区域，大力开展水稻、玉米、小麦、油菜、甘蔗、马铃薯种植保险，奶牛、能繁母猪、育肥猪养殖保险，公益林、商品林森林保险，以及</w:t>
      </w:r>
      <w:r>
        <w:rPr>
          <w:rFonts w:hint="eastAsia"/>
          <w:bCs/>
          <w:szCs w:val="32"/>
        </w:rPr>
        <w:t>水稻、小麦、玉米制种保险等1</w:t>
      </w:r>
      <w:r>
        <w:rPr>
          <w:bCs/>
          <w:szCs w:val="32"/>
        </w:rPr>
        <w:t>4</w:t>
      </w:r>
      <w:r>
        <w:rPr>
          <w:rFonts w:hint="eastAsia"/>
          <w:bCs/>
          <w:szCs w:val="32"/>
        </w:rPr>
        <w:t>个中央财政补贴险种</w:t>
      </w:r>
      <w:r>
        <w:rPr>
          <w:rFonts w:hint="eastAsia" w:hAnsi="仿宋_GB2312" w:cs="仿宋_GB2312"/>
          <w:bCs/>
          <w:color w:val="000000"/>
        </w:rPr>
        <w:t>，</w:t>
      </w:r>
      <w:r>
        <w:rPr>
          <w:rFonts w:hint="eastAsia" w:hAnsi="仿宋_GB2312" w:cs="仿宋_GB2312"/>
          <w:color w:val="000000"/>
        </w:rPr>
        <w:t>进一步扩大中央财政</w:t>
      </w:r>
      <w:r>
        <w:rPr>
          <w:rFonts w:hint="eastAsia"/>
          <w:szCs w:val="32"/>
        </w:rPr>
        <w:t>补贴农业保险覆盖面</w:t>
      </w:r>
      <w:r>
        <w:rPr>
          <w:rFonts w:hint="eastAsia" w:hAnsi="仿宋_GB2312" w:cs="仿宋_GB2312"/>
          <w:szCs w:val="32"/>
        </w:rPr>
        <w:t>，</w:t>
      </w:r>
      <w:r>
        <w:rPr>
          <w:rFonts w:hint="eastAsia" w:hAnsi="仿宋_GB2312" w:cs="仿宋_GB2312"/>
          <w:bCs/>
          <w:color w:val="000000"/>
        </w:rPr>
        <w:t>保险费率不高于6%。</w:t>
      </w:r>
      <w:r>
        <w:rPr>
          <w:rFonts w:hint="eastAsia" w:hAnsi="仿宋_GB2312" w:cs="仿宋_GB2312"/>
          <w:bCs/>
          <w:color w:val="000000"/>
          <w:lang w:val="en-US" w:eastAsia="zh-CN"/>
        </w:rPr>
        <w:t>2023年，中央财政农业保险保费继续保持增长，</w:t>
      </w:r>
      <w:r>
        <w:rPr>
          <w:rFonts w:hint="eastAsia" w:ascii="仿宋_GB2312" w:eastAsia="仿宋_GB2312"/>
          <w:sz w:val="32"/>
          <w:szCs w:val="32"/>
          <w:lang w:val="en-US" w:eastAsia="zh-CN"/>
        </w:rPr>
        <w:t>保费</w:t>
      </w:r>
      <w:r>
        <w:rPr>
          <w:rFonts w:hint="eastAsia" w:ascii="仿宋_GB2312" w:eastAsia="仿宋_GB2312"/>
          <w:sz w:val="32"/>
          <w:szCs w:val="32"/>
        </w:rPr>
        <w:t>规模共计131755.66万元</w:t>
      </w:r>
      <w:r>
        <w:rPr>
          <w:rFonts w:hint="eastAsia" w:ascii="仿宋_GB2312" w:eastAsia="仿宋_GB2312"/>
          <w:sz w:val="32"/>
          <w:szCs w:val="32"/>
          <w:lang w:eastAsia="zh-CN"/>
        </w:rPr>
        <w:t>（</w:t>
      </w:r>
      <w:r>
        <w:rPr>
          <w:rFonts w:hint="eastAsia" w:ascii="仿宋_GB2312" w:eastAsia="仿宋_GB2312"/>
          <w:sz w:val="32"/>
          <w:szCs w:val="32"/>
          <w:lang w:val="en-US" w:eastAsia="zh-CN"/>
        </w:rPr>
        <w:t>含物化成本与完全成本保险</w:t>
      </w:r>
      <w:r>
        <w:rPr>
          <w:rFonts w:hint="eastAsia" w:ascii="仿宋_GB2312" w:eastAsia="仿宋_GB2312"/>
          <w:sz w:val="32"/>
          <w:szCs w:val="32"/>
          <w:lang w:eastAsia="zh-CN"/>
        </w:rPr>
        <w:t>），</w:t>
      </w:r>
      <w:r>
        <w:rPr>
          <w:rFonts w:hint="eastAsia" w:ascii="仿宋_GB2312" w:eastAsia="仿宋_GB2312"/>
          <w:sz w:val="32"/>
          <w:szCs w:val="32"/>
          <w:lang w:val="en-US" w:eastAsia="zh-CN"/>
        </w:rPr>
        <w:t>同比增长9.71%</w:t>
      </w:r>
      <w:r>
        <w:rPr>
          <w:rFonts w:hint="eastAsia" w:ascii="仿宋_GB2312" w:eastAsia="仿宋_GB2312"/>
          <w:sz w:val="32"/>
          <w:szCs w:val="32"/>
          <w:lang w:eastAsia="zh-CN"/>
        </w:rPr>
        <w:t>，</w:t>
      </w:r>
      <w:r>
        <w:rPr>
          <w:rFonts w:hint="eastAsia" w:ascii="仿宋_GB2312" w:eastAsia="仿宋_GB2312"/>
          <w:sz w:val="32"/>
          <w:szCs w:val="32"/>
        </w:rPr>
        <w:t>其中种植</w:t>
      </w:r>
      <w:r>
        <w:rPr>
          <w:rFonts w:hint="eastAsia" w:ascii="仿宋_GB2312" w:eastAsia="仿宋_GB2312"/>
          <w:sz w:val="32"/>
          <w:szCs w:val="32"/>
          <w:lang w:val="en-US" w:eastAsia="zh-CN"/>
        </w:rPr>
        <w:t>业保费69001.3</w:t>
      </w:r>
      <w:r>
        <w:rPr>
          <w:rFonts w:hint="eastAsia" w:ascii="仿宋_GB2312" w:eastAsia="仿宋_GB2312"/>
          <w:sz w:val="32"/>
          <w:szCs w:val="32"/>
        </w:rPr>
        <w:t>万元，养殖</w:t>
      </w:r>
      <w:r>
        <w:rPr>
          <w:rFonts w:hint="eastAsia" w:ascii="仿宋_GB2312" w:eastAsia="仿宋_GB2312"/>
          <w:sz w:val="32"/>
          <w:szCs w:val="32"/>
          <w:lang w:val="en-US" w:eastAsia="zh-CN"/>
        </w:rPr>
        <w:t>业保费25494.36</w:t>
      </w:r>
      <w:r>
        <w:rPr>
          <w:rFonts w:hint="eastAsia" w:ascii="仿宋_GB2312" w:eastAsia="仿宋_GB2312"/>
          <w:sz w:val="32"/>
          <w:szCs w:val="32"/>
        </w:rPr>
        <w:t>万元，森林</w:t>
      </w:r>
      <w:r>
        <w:rPr>
          <w:rFonts w:hint="eastAsia" w:ascii="仿宋_GB2312" w:eastAsia="仿宋_GB2312"/>
          <w:sz w:val="32"/>
          <w:szCs w:val="32"/>
          <w:lang w:val="en-US" w:eastAsia="zh-CN"/>
        </w:rPr>
        <w:t>保费37260.00</w:t>
      </w:r>
      <w:r>
        <w:rPr>
          <w:rFonts w:hint="eastAsia" w:ascii="仿宋_GB2312" w:eastAsia="仿宋_GB2312"/>
          <w:sz w:val="32"/>
          <w:szCs w:val="32"/>
        </w:rPr>
        <w:t>万元</w:t>
      </w:r>
      <w:r>
        <w:rPr>
          <w:rFonts w:hint="eastAsia" w:hAnsi="仿宋_GB2312" w:cs="仿宋_GB2312"/>
          <w:bCs/>
          <w:color w:val="000000"/>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ascii="黑体" w:hAnsi="黑体" w:eastAsia="黑体" w:cs="黑体"/>
          <w:szCs w:val="32"/>
        </w:rPr>
      </w:pPr>
      <w:r>
        <w:rPr>
          <w:rFonts w:hint="eastAsia" w:ascii="黑体" w:hAnsi="黑体" w:eastAsia="黑体" w:cs="黑体"/>
          <w:szCs w:val="32"/>
        </w:rPr>
        <w:t>二、我省农业保险保费补贴工作的主要做法</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楷体_GB2312" w:eastAsia="楷体_GB2312"/>
          <w:szCs w:val="32"/>
        </w:rPr>
      </w:pPr>
      <w:r>
        <w:rPr>
          <w:rFonts w:hint="eastAsia" w:ascii="楷体_GB2312" w:eastAsia="楷体_GB2312"/>
          <w:szCs w:val="32"/>
        </w:rPr>
        <w:t>（一）优化完善政策机制，助力“三农”发展</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hAnsi="仿宋_GB2312" w:cs="仿宋_GB2312"/>
          <w:bCs/>
          <w:color w:val="000000"/>
        </w:rPr>
      </w:pPr>
      <w:r>
        <w:rPr>
          <w:rFonts w:hint="eastAsia" w:hAnsi="仿宋_GB2312" w:cs="仿宋_GB2312"/>
          <w:bCs/>
          <w:color w:val="000000"/>
        </w:rPr>
        <w:t>按照财政部《中央财政农业保险保费补贴管理办法》（财金〔2021〕130号）要求，我省及时修订完善《贵州省政策性农业保险保费补贴资金管理办法》，调整相关险种补贴比例，明确中央和省级财政补贴资金“省对省”直接划拨方式，提高农业保险保费补贴资金划拨时效性、安全性，更好的服务保障我省粮食安全。202</w:t>
      </w:r>
      <w:r>
        <w:rPr>
          <w:rFonts w:hint="eastAsia" w:hAnsi="仿宋_GB2312" w:cs="仿宋_GB2312"/>
          <w:bCs/>
          <w:color w:val="000000"/>
          <w:lang w:val="en-US" w:eastAsia="zh-CN"/>
        </w:rPr>
        <w:t>3</w:t>
      </w:r>
      <w:r>
        <w:rPr>
          <w:rFonts w:hint="eastAsia" w:hAnsi="仿宋_GB2312" w:cs="仿宋_GB2312"/>
          <w:bCs/>
          <w:color w:val="000000"/>
        </w:rPr>
        <w:t>年，我省配套农业保险保费补贴省级财政资金7</w:t>
      </w:r>
      <w:r>
        <w:rPr>
          <w:rFonts w:hint="eastAsia" w:hAnsi="仿宋_GB2312" w:cs="仿宋_GB2312"/>
          <w:bCs/>
          <w:color w:val="000000"/>
          <w:lang w:val="en-US" w:eastAsia="zh-CN"/>
        </w:rPr>
        <w:t>.7</w:t>
      </w:r>
      <w:r>
        <w:rPr>
          <w:rFonts w:hint="eastAsia" w:hAnsi="仿宋_GB2312" w:cs="仿宋_GB2312"/>
          <w:bCs/>
          <w:color w:val="000000"/>
        </w:rPr>
        <w:t>亿元，较上年增加0.</w:t>
      </w:r>
      <w:r>
        <w:rPr>
          <w:rFonts w:hint="eastAsia" w:hAnsi="仿宋_GB2312" w:cs="仿宋_GB2312"/>
          <w:bCs/>
          <w:color w:val="000000"/>
          <w:lang w:val="en-US" w:eastAsia="zh-CN"/>
        </w:rPr>
        <w:t>7</w:t>
      </w:r>
      <w:r>
        <w:rPr>
          <w:rFonts w:hint="eastAsia" w:hAnsi="仿宋_GB2312" w:cs="仿宋_GB2312"/>
          <w:bCs/>
          <w:color w:val="000000"/>
        </w:rPr>
        <w:t>亿元。</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right="0" w:rightChars="0" w:firstLine="632" w:firstLineChars="200"/>
        <w:textAlignment w:val="auto"/>
        <w:rPr>
          <w:rFonts w:hint="eastAsia" w:ascii="楷体_GB2312" w:eastAsia="楷体_GB2312"/>
          <w:szCs w:val="32"/>
        </w:rPr>
      </w:pPr>
      <w:r>
        <w:rPr>
          <w:rFonts w:hint="eastAsia" w:ascii="楷体_GB2312" w:eastAsia="楷体_GB2312"/>
          <w:szCs w:val="32"/>
        </w:rPr>
        <w:t>全力保障粮食安全，大力发展中央</w:t>
      </w:r>
      <w:r>
        <w:rPr>
          <w:rFonts w:hint="eastAsia" w:ascii="楷体_GB2312" w:eastAsia="楷体_GB2312"/>
          <w:szCs w:val="32"/>
          <w:lang w:val="en-US" w:eastAsia="zh-CN"/>
        </w:rPr>
        <w:t>财政补贴</w:t>
      </w:r>
      <w:r>
        <w:rPr>
          <w:rFonts w:hint="eastAsia" w:ascii="楷体_GB2312" w:eastAsia="楷体_GB2312"/>
          <w:szCs w:val="32"/>
        </w:rPr>
        <w:t>险种</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hAnsi="仿宋_GB2312" w:cs="仿宋_GB2312"/>
          <w:bCs/>
          <w:color w:val="000000"/>
        </w:rPr>
      </w:pPr>
      <w:r>
        <w:rPr>
          <w:rFonts w:hint="eastAsia" w:hAnsi="仿宋_GB2312" w:cs="仿宋_GB2312"/>
          <w:bCs/>
          <w:color w:val="000000"/>
        </w:rPr>
        <w:t>一是水稻、玉米、小麦等粮食作物保险覆盖面大幅扩大，进一步保障我省粮食安全。按照中央、国务院部署要求，我省深刻认识保障粮食安全的极端重要性，全力推动并实现农业保险粮食产业全覆盖，筑牢粮食安全“生命线”。202</w:t>
      </w:r>
      <w:r>
        <w:rPr>
          <w:rFonts w:hint="eastAsia" w:hAnsi="仿宋_GB2312" w:cs="仿宋_GB2312"/>
          <w:bCs/>
          <w:color w:val="000000"/>
          <w:lang w:val="en-US" w:eastAsia="zh-CN"/>
        </w:rPr>
        <w:t>3</w:t>
      </w:r>
      <w:r>
        <w:rPr>
          <w:rFonts w:hint="eastAsia" w:hAnsi="仿宋_GB2312" w:cs="仿宋_GB2312"/>
          <w:bCs/>
          <w:color w:val="000000"/>
        </w:rPr>
        <w:t>年，我省中央财政补贴的</w:t>
      </w:r>
      <w:r>
        <w:rPr>
          <w:rFonts w:hint="default" w:ascii="仿宋_GB2312" w:eastAsia="仿宋_GB2312"/>
          <w:sz w:val="32"/>
          <w:szCs w:val="32"/>
        </w:rPr>
        <w:t>水稻、玉米、小麦等</w:t>
      </w:r>
      <w:r>
        <w:rPr>
          <w:rFonts w:hint="eastAsia" w:ascii="仿宋_GB2312" w:eastAsia="仿宋_GB2312"/>
          <w:sz w:val="32"/>
          <w:szCs w:val="32"/>
          <w:lang w:val="en-US" w:eastAsia="zh-CN"/>
        </w:rPr>
        <w:t>险种</w:t>
      </w:r>
      <w:r>
        <w:rPr>
          <w:rFonts w:hint="default" w:ascii="仿宋_GB2312" w:eastAsia="仿宋_GB2312"/>
          <w:sz w:val="32"/>
          <w:szCs w:val="32"/>
          <w:lang w:val="en-US" w:eastAsia="zh-CN"/>
        </w:rPr>
        <w:t>保费规模5.</w:t>
      </w:r>
      <w:r>
        <w:rPr>
          <w:rFonts w:hint="eastAsia" w:ascii="仿宋_GB2312" w:eastAsia="仿宋_GB2312"/>
          <w:sz w:val="32"/>
          <w:szCs w:val="32"/>
          <w:lang w:val="en-US" w:eastAsia="zh-CN"/>
        </w:rPr>
        <w:t>61</w:t>
      </w:r>
      <w:r>
        <w:rPr>
          <w:rFonts w:hint="default" w:ascii="仿宋_GB2312" w:eastAsia="仿宋_GB2312"/>
          <w:sz w:val="32"/>
          <w:szCs w:val="32"/>
          <w:lang w:val="en-US" w:eastAsia="zh-CN"/>
        </w:rPr>
        <w:t>亿元，同比增长</w:t>
      </w:r>
      <w:r>
        <w:rPr>
          <w:rFonts w:hint="eastAsia" w:ascii="仿宋_GB2312" w:eastAsia="仿宋_GB2312"/>
          <w:sz w:val="32"/>
          <w:szCs w:val="32"/>
          <w:lang w:val="en-US" w:eastAsia="zh-CN"/>
        </w:rPr>
        <w:t>8.09</w:t>
      </w:r>
      <w:r>
        <w:rPr>
          <w:rFonts w:hint="default" w:ascii="仿宋_GB2312" w:eastAsia="仿宋_GB2312"/>
          <w:sz w:val="32"/>
          <w:szCs w:val="32"/>
          <w:lang w:val="en-US" w:eastAsia="zh-CN"/>
        </w:rPr>
        <w:t>%，保障面积</w:t>
      </w:r>
      <w:r>
        <w:rPr>
          <w:rFonts w:hint="eastAsia" w:ascii="仿宋_GB2312" w:eastAsia="仿宋_GB2312"/>
          <w:sz w:val="32"/>
          <w:szCs w:val="32"/>
          <w:lang w:val="en-US" w:eastAsia="zh-CN"/>
        </w:rPr>
        <w:t>1978.87</w:t>
      </w:r>
      <w:r>
        <w:rPr>
          <w:rFonts w:hint="default" w:ascii="仿宋_GB2312" w:eastAsia="仿宋_GB2312"/>
          <w:sz w:val="32"/>
          <w:szCs w:val="32"/>
          <w:lang w:val="en-US" w:eastAsia="zh-CN"/>
        </w:rPr>
        <w:t>万亩，共为4</w:t>
      </w:r>
      <w:r>
        <w:rPr>
          <w:rFonts w:hint="eastAsia" w:ascii="仿宋_GB2312" w:eastAsia="仿宋_GB2312"/>
          <w:sz w:val="32"/>
          <w:szCs w:val="32"/>
          <w:lang w:val="en-US" w:eastAsia="zh-CN"/>
        </w:rPr>
        <w:t>54.43</w:t>
      </w:r>
      <w:r>
        <w:rPr>
          <w:rFonts w:hint="default" w:ascii="仿宋_GB2312" w:eastAsia="仿宋_GB2312"/>
          <w:sz w:val="32"/>
          <w:szCs w:val="32"/>
          <w:lang w:val="en-US" w:eastAsia="zh-CN"/>
        </w:rPr>
        <w:t>万户（次）农户提供风险保障</w:t>
      </w:r>
      <w:r>
        <w:rPr>
          <w:rFonts w:hint="eastAsia" w:ascii="仿宋_GB2312" w:eastAsia="仿宋_GB2312"/>
          <w:sz w:val="32"/>
          <w:szCs w:val="32"/>
          <w:lang w:val="en-US" w:eastAsia="zh-CN"/>
        </w:rPr>
        <w:t>128.35</w:t>
      </w:r>
      <w:r>
        <w:rPr>
          <w:rFonts w:hint="default" w:ascii="仿宋_GB2312" w:eastAsia="仿宋_GB2312"/>
          <w:sz w:val="32"/>
          <w:szCs w:val="32"/>
          <w:lang w:val="en-US" w:eastAsia="zh-CN"/>
        </w:rPr>
        <w:t>亿元，支付赔款</w:t>
      </w:r>
      <w:r>
        <w:rPr>
          <w:rFonts w:hint="eastAsia" w:ascii="仿宋_GB2312" w:eastAsia="仿宋_GB2312"/>
          <w:sz w:val="32"/>
          <w:szCs w:val="32"/>
          <w:lang w:val="en-US" w:eastAsia="zh-CN"/>
        </w:rPr>
        <w:t>9483.64万</w:t>
      </w:r>
      <w:r>
        <w:rPr>
          <w:rFonts w:hint="default" w:ascii="仿宋_GB2312" w:eastAsia="仿宋_GB2312"/>
          <w:sz w:val="32"/>
          <w:szCs w:val="32"/>
          <w:lang w:val="en-US" w:eastAsia="zh-CN"/>
        </w:rPr>
        <w:t>元</w:t>
      </w:r>
      <w:r>
        <w:rPr>
          <w:rFonts w:hint="eastAsia" w:hAnsi="仿宋_GB2312" w:cs="仿宋_GB2312"/>
          <w:bCs/>
          <w:color w:val="000000"/>
        </w:rPr>
        <w:t>。二是养殖业保险规模稳步增长。全省中央财政补贴的育肥猪、能繁母猪、奶牛保险保费规模2.55亿元，同比增长</w:t>
      </w:r>
      <w:r>
        <w:rPr>
          <w:rFonts w:hint="eastAsia" w:ascii="仿宋_GB2312" w:eastAsia="仿宋_GB2312"/>
          <w:sz w:val="32"/>
          <w:szCs w:val="32"/>
          <w:lang w:val="en-US" w:eastAsia="zh-CN"/>
        </w:rPr>
        <w:t>16.97</w:t>
      </w:r>
      <w:r>
        <w:rPr>
          <w:rFonts w:hint="eastAsia" w:hAnsi="仿宋_GB2312" w:cs="仿宋_GB2312"/>
          <w:bCs/>
          <w:color w:val="000000"/>
        </w:rPr>
        <w:t>%，共为37.91万户（次）农户提供风险保障64.42亿元，支付赔款2.51亿元。三是森林保险有序发展。全省中央财政补贴的公益林、商品林保险保费规模3.73亿元，保障面积1.37亿亩，共为145.98万户（次）农户提供风险保障1678.12亿元，支付赔款1.13亿元。</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楷体_GB2312" w:eastAsia="楷体_GB2312"/>
          <w:szCs w:val="32"/>
          <w:lang w:val="en-US" w:eastAsia="zh-CN"/>
        </w:rPr>
      </w:pPr>
      <w:r>
        <w:rPr>
          <w:rFonts w:hint="eastAsia" w:ascii="楷体_GB2312" w:eastAsia="楷体_GB2312"/>
          <w:szCs w:val="32"/>
          <w:lang w:val="en-US" w:eastAsia="zh-CN"/>
        </w:rPr>
        <w:t>持续强化</w:t>
      </w:r>
      <w:r>
        <w:rPr>
          <w:rFonts w:hint="eastAsia" w:ascii="楷体_GB2312" w:eastAsia="楷体_GB2312"/>
          <w:szCs w:val="32"/>
        </w:rPr>
        <w:t>资金管理，及时拨付保费</w:t>
      </w:r>
      <w:r>
        <w:rPr>
          <w:rFonts w:hint="eastAsia" w:ascii="楷体_GB2312" w:eastAsia="楷体_GB2312"/>
          <w:szCs w:val="32"/>
          <w:lang w:val="en-US" w:eastAsia="zh-CN"/>
        </w:rPr>
        <w:t>补贴资金</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hAnsi="仿宋_GB2312" w:cs="仿宋_GB2312"/>
          <w:bCs/>
          <w:color w:val="000000"/>
          <w:lang w:val="en-US" w:eastAsia="zh-CN"/>
        </w:rPr>
      </w:pPr>
      <w:r>
        <w:rPr>
          <w:rFonts w:hint="eastAsia" w:hAnsi="仿宋_GB2312" w:cs="仿宋_GB2312"/>
          <w:bCs/>
          <w:color w:val="000000"/>
          <w:lang w:val="en-US" w:eastAsia="zh-CN"/>
        </w:rPr>
        <w:t>一是做好农业保险财政保费补贴资金配套预算</w:t>
      </w:r>
      <w:r>
        <w:rPr>
          <w:rFonts w:hint="eastAsia" w:hAnsi="仿宋_GB2312" w:cs="仿宋_GB2312"/>
          <w:bCs/>
          <w:color w:val="000000"/>
        </w:rPr>
        <w:t>。</w:t>
      </w:r>
      <w:r>
        <w:rPr>
          <w:rFonts w:hint="eastAsia" w:hAnsi="仿宋_GB2312" w:cs="仿宋_GB2312"/>
          <w:bCs/>
          <w:color w:val="000000"/>
          <w:lang w:val="en-US" w:eastAsia="zh-CN"/>
        </w:rPr>
        <w:t>2023年，根据农业保险高质量发展需要，各级财政进一步加大预算额度，全省农业保险财政配套资金预算共</w:t>
      </w:r>
      <w:r>
        <w:rPr>
          <w:rFonts w:hint="eastAsia" w:hAnsi="仿宋_GB2312" w:cs="仿宋_GB2312"/>
          <w:bCs/>
          <w:color w:val="auto"/>
          <w:lang w:val="en-US" w:eastAsia="zh-CN"/>
        </w:rPr>
        <w:t>计22.53</w:t>
      </w:r>
      <w:r>
        <w:rPr>
          <w:rFonts w:hint="eastAsia" w:hAnsi="仿宋_GB2312" w:cs="仿宋_GB2312"/>
          <w:bCs/>
          <w:color w:val="000000"/>
          <w:lang w:val="en-US" w:eastAsia="zh-CN"/>
        </w:rPr>
        <w:t>亿元，其中中央预算9.85亿、省级预算资金7.7亿元、市县预算4.97亿元。二是“省对省”及时拨付中央及省级财政保费补贴资金。</w:t>
      </w:r>
      <w:r>
        <w:rPr>
          <w:rFonts w:hint="eastAsia" w:hAnsi="仿宋_GB2312" w:cs="仿宋_GB2312"/>
          <w:bCs/>
          <w:color w:val="000000"/>
        </w:rPr>
        <w:t>按照修订完善《贵州省政策性农业保险保费补贴资金管理办法》</w:t>
      </w:r>
      <w:r>
        <w:rPr>
          <w:rFonts w:hint="eastAsia" w:hAnsi="仿宋_GB2312" w:cs="仿宋_GB2312"/>
          <w:bCs/>
          <w:color w:val="000000"/>
          <w:lang w:val="en-US" w:eastAsia="zh-CN"/>
        </w:rPr>
        <w:t>要求</w:t>
      </w:r>
      <w:r>
        <w:rPr>
          <w:rFonts w:hint="eastAsia" w:hAnsi="仿宋_GB2312" w:cs="仿宋_GB2312"/>
          <w:bCs/>
          <w:color w:val="000000"/>
        </w:rPr>
        <w:t>，</w:t>
      </w:r>
      <w:r>
        <w:rPr>
          <w:rFonts w:hint="eastAsia" w:hAnsi="仿宋_GB2312" w:cs="仿宋_GB2312"/>
          <w:bCs/>
          <w:color w:val="000000"/>
          <w:lang w:val="en-US" w:eastAsia="zh-CN"/>
        </w:rPr>
        <w:t>及时</w:t>
      </w:r>
      <w:r>
        <w:rPr>
          <w:rFonts w:hint="eastAsia" w:hAnsi="仿宋_GB2312" w:cs="仿宋_GB2312"/>
          <w:bCs/>
          <w:color w:val="000000"/>
        </w:rPr>
        <w:t>开展全省政策性农业保险保费补贴清算和拨付工作</w:t>
      </w:r>
      <w:r>
        <w:rPr>
          <w:rFonts w:hint="eastAsia" w:hAnsi="仿宋_GB2312" w:cs="仿宋_GB2312"/>
          <w:bCs/>
          <w:color w:val="000000"/>
          <w:lang w:eastAsia="zh-CN"/>
        </w:rPr>
        <w:t>，</w:t>
      </w:r>
      <w:r>
        <w:rPr>
          <w:rFonts w:hint="eastAsia" w:hAnsi="仿宋_GB2312" w:cs="仿宋_GB2312"/>
          <w:bCs/>
          <w:color w:val="000000"/>
          <w:lang w:val="en-US" w:eastAsia="zh-CN"/>
        </w:rPr>
        <w:t>2023年省财政厅累计向省级保险经办机构拨付中央财政农业保险中央及省级财政</w:t>
      </w:r>
      <w:r>
        <w:rPr>
          <w:rFonts w:hint="eastAsia" w:hAnsi="仿宋_GB2312" w:cs="仿宋_GB2312"/>
          <w:bCs/>
          <w:color w:val="auto"/>
          <w:lang w:val="en-US" w:eastAsia="zh-CN"/>
        </w:rPr>
        <w:t>补贴资金13.36亿元，其中中央资金9.85亿元、省级财政资金3.51亿元。三</w:t>
      </w:r>
      <w:r>
        <w:rPr>
          <w:rFonts w:hint="eastAsia" w:hAnsi="仿宋_GB2312" w:cs="仿宋_GB2312"/>
          <w:bCs/>
          <w:color w:val="000000"/>
          <w:lang w:val="en-US" w:eastAsia="zh-CN"/>
        </w:rPr>
        <w:t>是及时开展清理上年中央及省级财政结余资金对账工作。</w:t>
      </w:r>
      <w:r>
        <w:rPr>
          <w:rFonts w:hint="eastAsia" w:hAnsi="仿宋_GB2312" w:cs="仿宋_GB2312"/>
          <w:bCs/>
          <w:color w:val="000000"/>
        </w:rPr>
        <w:t>按照修订完善</w:t>
      </w:r>
      <w:r>
        <w:rPr>
          <w:rFonts w:hint="eastAsia" w:hAnsi="仿宋_GB2312" w:cs="仿宋_GB2312"/>
          <w:bCs/>
          <w:color w:val="000000"/>
          <w:lang w:val="en-US" w:eastAsia="zh-CN"/>
        </w:rPr>
        <w:t>的</w:t>
      </w:r>
      <w:r>
        <w:rPr>
          <w:rFonts w:hint="eastAsia" w:hAnsi="仿宋_GB2312" w:cs="仿宋_GB2312"/>
          <w:bCs/>
          <w:color w:val="000000"/>
        </w:rPr>
        <w:t>《贵州省政策性农业保险保费补贴资金管理办法》</w:t>
      </w:r>
      <w:r>
        <w:rPr>
          <w:rFonts w:hint="eastAsia" w:hAnsi="仿宋_GB2312" w:cs="仿宋_GB2312"/>
          <w:bCs/>
          <w:color w:val="000000"/>
          <w:lang w:val="en-US" w:eastAsia="zh-CN"/>
        </w:rPr>
        <w:t>要求，鉴于今后中央及省级资金将以“省对省”直拨保险经办机构的方式，及时下发《省财政厅关于加快落实拨付政策性农业保险中央及省级结余扣减金额的通知》，要求市、县财政将上年结余保费补贴资金及时拨付至保险经办机构。</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ascii="黑体" w:hAnsi="黑体" w:eastAsia="黑体" w:cs="黑体"/>
        </w:rPr>
      </w:pPr>
      <w:r>
        <w:rPr>
          <w:rFonts w:hint="eastAsia" w:ascii="黑体" w:hAnsi="黑体" w:eastAsia="黑体" w:cs="黑体"/>
        </w:rPr>
        <w:t>三</w:t>
      </w:r>
      <w:r>
        <w:rPr>
          <w:rFonts w:ascii="黑体" w:hAnsi="黑体" w:eastAsia="黑体" w:cs="黑体"/>
        </w:rPr>
        <w:t>、</w:t>
      </w:r>
      <w:r>
        <w:rPr>
          <w:rFonts w:hint="eastAsia" w:ascii="黑体" w:hAnsi="黑体" w:eastAsia="黑体" w:cs="黑体"/>
          <w:lang w:val="en-US" w:eastAsia="zh-CN"/>
        </w:rPr>
        <w:t>中央财政农业保险</w:t>
      </w:r>
      <w:r>
        <w:rPr>
          <w:rFonts w:ascii="黑体" w:hAnsi="黑体" w:eastAsia="黑体" w:cs="黑体"/>
        </w:rPr>
        <w:t>绩效评价结论及分析</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楷体_GB2312" w:eastAsia="楷体_GB2312"/>
          <w:szCs w:val="32"/>
        </w:rPr>
      </w:pPr>
      <w:r>
        <w:rPr>
          <w:rFonts w:hint="eastAsia" w:ascii="楷体_GB2312" w:eastAsia="楷体_GB2312"/>
          <w:szCs w:val="32"/>
        </w:rPr>
        <w:t>（一）绩效评价结论</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Ansi="仿宋_GB2312" w:cs="仿宋_GB2312"/>
        </w:rPr>
      </w:pPr>
      <w:r>
        <w:rPr>
          <w:rFonts w:hAnsi="仿宋_GB2312" w:cs="仿宋_GB2312"/>
        </w:rPr>
        <w:t>按照</w:t>
      </w:r>
      <w:r>
        <w:rPr>
          <w:rFonts w:hint="eastAsia"/>
          <w:szCs w:val="32"/>
        </w:rPr>
        <w:t>《中央财政农业保险保险费补贴管理办法》（财金〔20</w:t>
      </w:r>
      <w:r>
        <w:rPr>
          <w:szCs w:val="32"/>
        </w:rPr>
        <w:t>21</w:t>
      </w:r>
      <w:r>
        <w:rPr>
          <w:rFonts w:hint="eastAsia"/>
          <w:szCs w:val="32"/>
        </w:rPr>
        <w:t>〕1</w:t>
      </w:r>
      <w:r>
        <w:rPr>
          <w:szCs w:val="32"/>
        </w:rPr>
        <w:t>30</w:t>
      </w:r>
      <w:r>
        <w:rPr>
          <w:rFonts w:hint="eastAsia"/>
          <w:szCs w:val="32"/>
        </w:rPr>
        <w:t>号）</w:t>
      </w:r>
      <w:r>
        <w:rPr>
          <w:rFonts w:hAnsi="仿宋_GB2312" w:cs="仿宋_GB2312"/>
        </w:rPr>
        <w:t>有关要求，我省通过对收集审核基础资料、问卷调查等方式，汇总绩效评价相关信息和数据，对照绩效评价指标体系，分析资金的使用效果和绩效目标的完成程度，本次绩效评价</w:t>
      </w:r>
      <w:r>
        <w:rPr>
          <w:rFonts w:hint="eastAsia" w:hAnsi="仿宋_GB2312" w:cs="仿宋_GB2312"/>
          <w:lang w:val="en-US" w:eastAsia="zh-CN"/>
        </w:rPr>
        <w:t>自评</w:t>
      </w:r>
      <w:r>
        <w:rPr>
          <w:rFonts w:hAnsi="仿宋_GB2312" w:cs="仿宋_GB2312"/>
        </w:rPr>
        <w:t>总</w:t>
      </w:r>
      <w:r>
        <w:rPr>
          <w:rFonts w:hint="eastAsia" w:hAnsi="仿宋_GB2312" w:cs="仿宋_GB2312"/>
          <w:lang w:val="en-US" w:eastAsia="zh-CN"/>
        </w:rPr>
        <w:t>得分</w:t>
      </w:r>
      <w:r>
        <w:rPr>
          <w:rFonts w:hAnsi="仿宋_GB2312" w:cs="仿宋_GB2312"/>
        </w:rPr>
        <w:t>为</w:t>
      </w:r>
      <w:r>
        <w:rPr>
          <w:rFonts w:hint="eastAsia" w:hAnsi="仿宋_GB2312" w:cs="仿宋_GB2312"/>
          <w:color w:val="auto"/>
        </w:rPr>
        <w:t>9</w:t>
      </w:r>
      <w:r>
        <w:rPr>
          <w:rFonts w:hint="eastAsia" w:hAnsi="仿宋_GB2312" w:cs="仿宋_GB2312"/>
          <w:color w:val="auto"/>
          <w:lang w:val="en-US" w:eastAsia="zh-CN"/>
        </w:rPr>
        <w:t>8</w:t>
      </w:r>
      <w:r>
        <w:rPr>
          <w:rFonts w:hAnsi="仿宋_GB2312" w:cs="仿宋_GB2312"/>
        </w:rPr>
        <w:t>分。</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楷体_GB2312" w:eastAsia="楷体_GB2312"/>
          <w:szCs w:val="32"/>
        </w:rPr>
      </w:pPr>
      <w:r>
        <w:rPr>
          <w:rFonts w:hint="eastAsia" w:ascii="楷体_GB2312" w:eastAsia="楷体_GB2312"/>
          <w:szCs w:val="32"/>
        </w:rPr>
        <w:t>（二）主要绩效评价指标分析</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default" w:eastAsia="仿宋_GB2312"/>
          <w:color w:val="FF0000"/>
          <w:szCs w:val="32"/>
          <w:lang w:val="en-US" w:eastAsia="zh-CN"/>
        </w:rPr>
      </w:pPr>
      <w:r>
        <w:rPr>
          <w:rFonts w:hAnsi="仿宋_GB2312" w:cs="仿宋_GB2312"/>
        </w:rPr>
        <w:t>1.</w:t>
      </w:r>
      <w:r>
        <w:rPr>
          <w:rFonts w:hint="eastAsia" w:hAnsi="仿宋_GB2312" w:cs="仿宋_GB2312"/>
        </w:rPr>
        <w:t>财政部门履职尽责。</w:t>
      </w:r>
      <w:r>
        <w:rPr>
          <w:rFonts w:hint="eastAsia" w:hAnsi="仿宋_GB2312" w:cs="仿宋_GB2312"/>
          <w:szCs w:val="32"/>
        </w:rPr>
        <w:t>我省</w:t>
      </w:r>
      <w:r>
        <w:rPr>
          <w:rFonts w:hint="eastAsia" w:hAnsi="仿宋_GB2312" w:cs="仿宋_GB2312"/>
          <w:szCs w:val="32"/>
          <w:lang w:val="en-US" w:eastAsia="zh-CN"/>
        </w:rPr>
        <w:t>农业保险工作小组</w:t>
      </w:r>
      <w:r>
        <w:rPr>
          <w:rFonts w:hint="eastAsia" w:hAnsi="仿宋_GB2312" w:cs="仿宋_GB2312"/>
          <w:szCs w:val="32"/>
        </w:rPr>
        <w:t>有关部门和单位</w:t>
      </w:r>
      <w:r>
        <w:rPr>
          <w:rFonts w:hint="eastAsia" w:hAnsi="仿宋_GB2312" w:cs="仿宋_GB2312"/>
          <w:szCs w:val="32"/>
          <w:lang w:val="en-US" w:eastAsia="zh-CN"/>
        </w:rPr>
        <w:t>积极开展</w:t>
      </w:r>
      <w:r>
        <w:rPr>
          <w:rFonts w:hint="eastAsia" w:hAnsi="仿宋_GB2312" w:cs="仿宋_GB2312"/>
          <w:szCs w:val="32"/>
        </w:rPr>
        <w:t>统筹规划、制定工作目标、承保计划等</w:t>
      </w:r>
      <w:r>
        <w:rPr>
          <w:rFonts w:hint="eastAsia" w:hAnsi="仿宋_GB2312" w:cs="仿宋_GB2312"/>
          <w:szCs w:val="32"/>
          <w:lang w:val="en-US" w:eastAsia="zh-CN"/>
        </w:rPr>
        <w:t>工作</w:t>
      </w:r>
      <w:r>
        <w:rPr>
          <w:rFonts w:hint="eastAsia" w:hAnsi="仿宋_GB2312" w:cs="仿宋_GB2312"/>
          <w:szCs w:val="32"/>
        </w:rPr>
        <w:t>，协同推进农业保险</w:t>
      </w:r>
      <w:r>
        <w:rPr>
          <w:rFonts w:hint="eastAsia" w:hAnsi="仿宋_GB2312" w:cs="仿宋_GB2312"/>
          <w:szCs w:val="32"/>
          <w:lang w:val="en-US" w:eastAsia="zh-CN"/>
        </w:rPr>
        <w:t>发展</w:t>
      </w:r>
      <w:r>
        <w:rPr>
          <w:rFonts w:hint="eastAsia" w:hAnsi="仿宋_GB2312" w:cs="仿宋_GB2312"/>
          <w:szCs w:val="32"/>
        </w:rPr>
        <w:t>；强化资金管理，将农业保险保费补贴资金列入各级财政预算，并在规定时间内</w:t>
      </w:r>
      <w:r>
        <w:rPr>
          <w:rFonts w:hint="eastAsia"/>
          <w:bCs/>
          <w:szCs w:val="32"/>
        </w:rPr>
        <w:t>依规拨付资金并开展清算，加强对</w:t>
      </w:r>
      <w:r>
        <w:rPr>
          <w:rFonts w:hint="eastAsia" w:hAnsi="仿宋_GB2312" w:cs="仿宋_GB2312"/>
        </w:rPr>
        <w:t>拖欠保费地区督查督导</w:t>
      </w:r>
      <w:r>
        <w:rPr>
          <w:rFonts w:hint="eastAsia"/>
          <w:szCs w:val="32"/>
        </w:rPr>
        <w:t>，确保清理自查工作落到实处、不新增未拨付农业保险保费，该项总分为3</w:t>
      </w:r>
      <w:r>
        <w:rPr>
          <w:szCs w:val="32"/>
        </w:rPr>
        <w:t>0</w:t>
      </w:r>
      <w:r>
        <w:rPr>
          <w:rFonts w:hint="eastAsia"/>
          <w:szCs w:val="32"/>
        </w:rPr>
        <w:t>分，自评得</w:t>
      </w:r>
      <w:r>
        <w:rPr>
          <w:rFonts w:hint="eastAsia"/>
          <w:szCs w:val="32"/>
          <w:lang w:val="en-US" w:eastAsia="zh-CN"/>
        </w:rPr>
        <w:t>分30</w:t>
      </w:r>
      <w:r>
        <w:rPr>
          <w:rFonts w:hint="eastAsia"/>
          <w:szCs w:val="32"/>
        </w:rPr>
        <w:t>分</w:t>
      </w:r>
      <w:r>
        <w:rPr>
          <w:rFonts w:hint="eastAsia"/>
          <w:szCs w:val="32"/>
          <w:lang w:eastAsia="zh-CN"/>
        </w:rPr>
        <w:t>，</w:t>
      </w:r>
      <w:r>
        <w:rPr>
          <w:rFonts w:hint="eastAsia"/>
          <w:szCs w:val="32"/>
          <w:lang w:val="en-US" w:eastAsia="zh-CN"/>
        </w:rPr>
        <w:t>与上一年度持平。</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Ansi="仿宋_GB2312" w:cs="仿宋_GB2312"/>
          <w:szCs w:val="32"/>
        </w:rPr>
      </w:pPr>
      <w:r>
        <w:rPr>
          <w:rFonts w:hAnsi="仿宋_GB2312" w:cs="仿宋_GB2312"/>
        </w:rPr>
        <w:t>2.</w:t>
      </w:r>
      <w:r>
        <w:rPr>
          <w:rFonts w:hint="eastAsia" w:hAnsi="仿宋_GB2312" w:cs="仿宋_GB2312"/>
        </w:rPr>
        <w:t>加强</w:t>
      </w:r>
      <w:r>
        <w:rPr>
          <w:rFonts w:hint="eastAsia" w:hAnsi="仿宋_GB2312" w:cs="仿宋_GB2312"/>
          <w:lang w:val="en-US" w:eastAsia="zh-CN"/>
        </w:rPr>
        <w:t>承保</w:t>
      </w:r>
      <w:r>
        <w:rPr>
          <w:rFonts w:hint="eastAsia" w:hAnsi="仿宋_GB2312" w:cs="仿宋_GB2312"/>
        </w:rPr>
        <w:t>机构管理。督促</w:t>
      </w:r>
      <w:r>
        <w:rPr>
          <w:rFonts w:hint="eastAsia" w:hAnsi="仿宋_GB2312" w:cs="仿宋_GB2312"/>
          <w:szCs w:val="32"/>
        </w:rPr>
        <w:t>经办机构完善财务核算制度，按照“多方参与、风险共担、多层分散”的原则，建立农业保险大灾风险分散机制，增强经办机构应对农业生产大灾风险能力，提升我省大灾应急能力。</w:t>
      </w:r>
      <w:r>
        <w:rPr>
          <w:rFonts w:hint="eastAsia" w:hAnsi="仿宋_GB2312" w:cs="仿宋_GB2312"/>
          <w:szCs w:val="32"/>
          <w:lang w:val="en-US" w:eastAsia="zh-CN"/>
        </w:rPr>
        <w:t>修订完善《贵州省政策性农业保险工作经费使用和管理办法》</w:t>
      </w:r>
      <w:r>
        <w:rPr>
          <w:rFonts w:hint="eastAsia" w:hAnsi="仿宋_GB2312" w:cs="仿宋_GB2312"/>
          <w:szCs w:val="32"/>
        </w:rPr>
        <w:t>，</w:t>
      </w:r>
      <w:r>
        <w:rPr>
          <w:rFonts w:hAnsi="仿宋_GB2312" w:cs="仿宋_GB2312"/>
          <w:szCs w:val="32"/>
        </w:rPr>
        <w:t>强化协保员队伍</w:t>
      </w:r>
      <w:r>
        <w:rPr>
          <w:rFonts w:hint="eastAsia" w:hAnsi="仿宋_GB2312" w:cs="仿宋_GB2312"/>
          <w:szCs w:val="32"/>
        </w:rPr>
        <w:t>，提升我省农业保险承保、理赔整体服务水平；各农业保险经办机构严格按照见费出单规定，对承保和理赔进行公示，尊重农户意愿，做到公开透明。</w:t>
      </w:r>
      <w:r>
        <w:rPr>
          <w:rFonts w:hint="eastAsia"/>
          <w:szCs w:val="32"/>
        </w:rPr>
        <w:t>该项总分为</w:t>
      </w:r>
      <w:r>
        <w:rPr>
          <w:szCs w:val="32"/>
        </w:rPr>
        <w:t>35</w:t>
      </w:r>
      <w:r>
        <w:rPr>
          <w:rFonts w:hint="eastAsia"/>
          <w:szCs w:val="32"/>
        </w:rPr>
        <w:t>分，</w:t>
      </w:r>
      <w:r>
        <w:rPr>
          <w:rFonts w:hint="eastAsia"/>
          <w:szCs w:val="32"/>
          <w:lang w:val="en-US" w:eastAsia="zh-CN"/>
        </w:rPr>
        <w:t>按照各保险经办机构保费规模加权</w:t>
      </w:r>
      <w:r>
        <w:rPr>
          <w:rFonts w:hint="eastAsia"/>
          <w:szCs w:val="32"/>
        </w:rPr>
        <w:t>自评得</w:t>
      </w:r>
      <w:r>
        <w:rPr>
          <w:rFonts w:hint="eastAsia"/>
          <w:szCs w:val="32"/>
          <w:lang w:val="en-US" w:eastAsia="zh-CN"/>
        </w:rPr>
        <w:t>分35</w:t>
      </w:r>
      <w:r>
        <w:rPr>
          <w:rFonts w:hint="eastAsia"/>
          <w:szCs w:val="32"/>
        </w:rPr>
        <w:t>分</w:t>
      </w:r>
      <w:r>
        <w:rPr>
          <w:rFonts w:hint="eastAsia"/>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int="default" w:eastAsia="仿宋_GB2312"/>
          <w:szCs w:val="32"/>
          <w:lang w:val="en-US" w:eastAsia="zh-CN"/>
        </w:rPr>
      </w:pPr>
      <w:r>
        <w:rPr>
          <w:rFonts w:hAnsi="仿宋_GB2312" w:cs="仿宋_GB2312"/>
        </w:rPr>
        <w:t>3.</w:t>
      </w:r>
      <w:r>
        <w:rPr>
          <w:rFonts w:hint="eastAsia" w:hAnsi="仿宋_GB2312" w:cs="仿宋_GB2312"/>
        </w:rPr>
        <w:t>工作绩效。我省</w:t>
      </w:r>
      <w:r>
        <w:rPr>
          <w:rFonts w:hAnsi="仿宋_GB2312" w:cs="仿宋_GB2312"/>
        </w:rPr>
        <w:t>充分发挥广播、电视、报刊、网络</w:t>
      </w:r>
      <w:r>
        <w:rPr>
          <w:rFonts w:hint="eastAsia" w:hAnsi="仿宋_GB2312" w:cs="仿宋_GB2312"/>
        </w:rPr>
        <w:t>平台，利用</w:t>
      </w:r>
      <w:r>
        <w:rPr>
          <w:rFonts w:hAnsi="仿宋_GB2312" w:cs="仿宋_GB2312"/>
        </w:rPr>
        <w:t>村民小组会、上门入户等</w:t>
      </w:r>
      <w:r>
        <w:rPr>
          <w:rFonts w:hint="eastAsia" w:hAnsi="仿宋_GB2312" w:cs="仿宋_GB2312"/>
        </w:rPr>
        <w:t>方式</w:t>
      </w:r>
      <w:r>
        <w:rPr>
          <w:rFonts w:hAnsi="仿宋_GB2312" w:cs="仿宋_GB2312"/>
        </w:rPr>
        <w:t>，积极向农户宣传普及政策性农业保险</w:t>
      </w:r>
      <w:r>
        <w:rPr>
          <w:rFonts w:hint="eastAsia" w:hAnsi="仿宋_GB2312" w:cs="仿宋_GB2312"/>
        </w:rPr>
        <w:t>承保理赔</w:t>
      </w:r>
      <w:r>
        <w:rPr>
          <w:rFonts w:hAnsi="仿宋_GB2312" w:cs="仿宋_GB2312"/>
        </w:rPr>
        <w:t>标准、</w:t>
      </w:r>
      <w:r>
        <w:rPr>
          <w:rFonts w:hint="eastAsia" w:hAnsi="仿宋_GB2312" w:cs="仿宋_GB2312"/>
        </w:rPr>
        <w:t>补贴</w:t>
      </w:r>
      <w:r>
        <w:rPr>
          <w:rFonts w:hAnsi="仿宋_GB2312" w:cs="仿宋_GB2312"/>
        </w:rPr>
        <w:t>比例等各项政策内容，引导农户积极主动参加农业保险</w:t>
      </w:r>
      <w:r>
        <w:rPr>
          <w:rFonts w:hint="eastAsia" w:hAnsi="仿宋_GB2312" w:cs="仿宋_GB2312"/>
        </w:rPr>
        <w:t>，</w:t>
      </w:r>
      <w:r>
        <w:rPr>
          <w:rFonts w:hAnsi="仿宋_GB2312" w:cs="仿宋_GB2312"/>
        </w:rPr>
        <w:t>调动农户参保的积极性</w:t>
      </w:r>
      <w:r>
        <w:rPr>
          <w:rFonts w:hint="eastAsia" w:hAnsi="仿宋_GB2312" w:cs="仿宋_GB2312"/>
        </w:rPr>
        <w:t>，政策知晓率达9</w:t>
      </w:r>
      <w:r>
        <w:rPr>
          <w:rFonts w:hAnsi="仿宋_GB2312" w:cs="仿宋_GB2312"/>
        </w:rPr>
        <w:t>0</w:t>
      </w:r>
      <w:r>
        <w:rPr>
          <w:rFonts w:hint="eastAsia" w:hAnsi="仿宋_GB2312" w:cs="仿宋_GB2312"/>
        </w:rPr>
        <w:t>%以上</w:t>
      </w:r>
      <w:r>
        <w:rPr>
          <w:rFonts w:hAnsi="仿宋_GB2312" w:cs="仿宋_GB2312"/>
        </w:rPr>
        <w:t>。</w:t>
      </w:r>
      <w:r>
        <w:rPr>
          <w:rFonts w:hint="eastAsia" w:hAnsi="仿宋_GB2312" w:cs="仿宋_GB2312"/>
        </w:rPr>
        <w:t>同时，要求</w:t>
      </w:r>
      <w:r>
        <w:rPr>
          <w:rFonts w:hint="eastAsia" w:hAnsi="仿宋_GB2312" w:cs="仿宋_GB2312"/>
          <w:szCs w:val="32"/>
        </w:rPr>
        <w:t>农业保险经办机构一方面结合各地实际，对定损办法、理赔起点、赔偿处理等具体工作环节规范化、标准化，不断简化理赔流程，加快理赔速度；另一方面通过推进全省农业灾害风险数据库的建设，有效提高了农业保险定损理赔的科学性和合理性，有效帮助受灾农户快速恢复生产，稳定我省农业产业发展，农户满意度</w:t>
      </w:r>
      <w:r>
        <w:rPr>
          <w:rFonts w:hint="eastAsia" w:hAnsi="仿宋_GB2312" w:cs="仿宋_GB2312"/>
        </w:rPr>
        <w:t>超过9</w:t>
      </w:r>
      <w:r>
        <w:rPr>
          <w:rFonts w:hAnsi="仿宋_GB2312" w:cs="仿宋_GB2312"/>
        </w:rPr>
        <w:t>0</w:t>
      </w:r>
      <w:r>
        <w:rPr>
          <w:rFonts w:hint="eastAsia" w:hAnsi="仿宋_GB2312" w:cs="仿宋_GB2312"/>
        </w:rPr>
        <w:t>%以上</w:t>
      </w:r>
      <w:r>
        <w:rPr>
          <w:rFonts w:hint="eastAsia" w:hAnsi="仿宋_GB2312" w:cs="仿宋_GB2312"/>
          <w:szCs w:val="32"/>
        </w:rPr>
        <w:t>。</w:t>
      </w:r>
      <w:r>
        <w:rPr>
          <w:rFonts w:hint="eastAsia"/>
          <w:szCs w:val="32"/>
        </w:rPr>
        <w:t>该项总分为</w:t>
      </w:r>
      <w:r>
        <w:rPr>
          <w:szCs w:val="32"/>
        </w:rPr>
        <w:t>35</w:t>
      </w:r>
      <w:r>
        <w:rPr>
          <w:rFonts w:hint="eastAsia"/>
          <w:szCs w:val="32"/>
        </w:rPr>
        <w:t>分，自评得</w:t>
      </w:r>
      <w:r>
        <w:rPr>
          <w:rFonts w:hint="eastAsia"/>
          <w:szCs w:val="32"/>
          <w:lang w:val="en-US" w:eastAsia="zh-CN"/>
        </w:rPr>
        <w:t>分33分</w:t>
      </w:r>
      <w:r>
        <w:rPr>
          <w:rFonts w:hint="eastAsia"/>
          <w:szCs w:val="32"/>
        </w:rPr>
        <w:t>。</w:t>
      </w:r>
      <w:r>
        <w:rPr>
          <w:rFonts w:hint="eastAsia"/>
          <w:szCs w:val="32"/>
          <w:lang w:val="en-US" w:eastAsia="zh-CN"/>
        </w:rPr>
        <w:t>主要</w:t>
      </w:r>
      <w:r>
        <w:rPr>
          <w:rFonts w:hint="eastAsia"/>
          <w:szCs w:val="32"/>
        </w:rPr>
        <w:t>失分项</w:t>
      </w:r>
      <w:r>
        <w:rPr>
          <w:rFonts w:hint="eastAsia"/>
          <w:szCs w:val="32"/>
          <w:lang w:eastAsia="zh-CN"/>
        </w:rPr>
        <w:t>：</w:t>
      </w:r>
      <w:r>
        <w:rPr>
          <w:rFonts w:hint="eastAsia"/>
          <w:szCs w:val="32"/>
          <w:lang w:val="en-US" w:eastAsia="zh-CN"/>
        </w:rPr>
        <w:t>一是</w:t>
      </w:r>
      <w:r>
        <w:rPr>
          <w:rFonts w:hint="eastAsia"/>
          <w:szCs w:val="32"/>
        </w:rPr>
        <w:t>理赔兑现率</w:t>
      </w:r>
      <w:r>
        <w:rPr>
          <w:rFonts w:hint="eastAsia"/>
          <w:szCs w:val="32"/>
          <w:lang w:val="en-US" w:eastAsia="zh-CN"/>
        </w:rPr>
        <w:t>扣1分，原因为总体理赔结案率为96.24%，因部分理赔资料收集困难、双方对估损与定损金额存在分歧等因素造成理赔结案率未能达到100%；二是保险保障水平扣1分，</w:t>
      </w:r>
      <w:r>
        <w:rPr>
          <w:rFonts w:hint="eastAsia"/>
          <w:szCs w:val="32"/>
        </w:rPr>
        <w:t>原因为</w:t>
      </w:r>
      <w:r>
        <w:rPr>
          <w:rFonts w:hint="eastAsia"/>
          <w:szCs w:val="32"/>
          <w:lang w:val="en-US" w:eastAsia="zh-CN"/>
        </w:rPr>
        <w:t>保额增幅较第一产业增加值幅度相比，增加幅度为8.84%，为第二档得4分（满分5分）。</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int="eastAsia" w:ascii="黑体" w:hAnsi="黑体" w:eastAsia="黑体" w:cs="黑体"/>
        </w:rPr>
      </w:pPr>
      <w:r>
        <w:rPr>
          <w:rFonts w:hint="eastAsia" w:ascii="黑体" w:hAnsi="黑体" w:eastAsia="黑体" w:cs="黑体"/>
        </w:rPr>
        <w:t>四</w:t>
      </w:r>
      <w:r>
        <w:rPr>
          <w:rFonts w:ascii="黑体" w:hAnsi="黑体" w:eastAsia="黑体" w:cs="黑体"/>
        </w:rPr>
        <w:t>、</w:t>
      </w:r>
      <w:r>
        <w:rPr>
          <w:rFonts w:hint="eastAsia" w:ascii="黑体" w:hAnsi="黑体" w:eastAsia="黑体" w:cs="黑体"/>
        </w:rPr>
        <w:t>针对问题提出的改进措施</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int="eastAsia" w:hAnsi="Times New Roman" w:cs="Times New Roman"/>
          <w:szCs w:val="32"/>
          <w:lang w:eastAsia="zh-CN"/>
        </w:rPr>
      </w:pPr>
      <w:r>
        <w:rPr>
          <w:rFonts w:hint="eastAsia" w:hAnsi="Times New Roman" w:cs="Times New Roman"/>
          <w:szCs w:val="32"/>
          <w:lang w:val="en-US" w:eastAsia="zh-CN"/>
        </w:rPr>
        <w:t>近年来，</w:t>
      </w:r>
      <w:r>
        <w:rPr>
          <w:rFonts w:hint="eastAsia" w:hAnsi="Times New Roman" w:cs="Times New Roman"/>
          <w:szCs w:val="32"/>
        </w:rPr>
        <w:t>我省农业保险工作</w:t>
      </w:r>
      <w:r>
        <w:rPr>
          <w:rFonts w:hint="eastAsia" w:hAnsi="Times New Roman" w:cs="Times New Roman"/>
          <w:szCs w:val="32"/>
          <w:lang w:val="en-US" w:eastAsia="zh-CN"/>
        </w:rPr>
        <w:t>保持高速发展</w:t>
      </w:r>
      <w:r>
        <w:rPr>
          <w:rFonts w:hint="eastAsia" w:hAnsi="Times New Roman" w:cs="Times New Roman"/>
          <w:szCs w:val="32"/>
        </w:rPr>
        <w:t>，但是</w:t>
      </w:r>
      <w:r>
        <w:rPr>
          <w:rFonts w:hint="eastAsia" w:hAnsi="Times New Roman" w:cs="Times New Roman"/>
          <w:szCs w:val="32"/>
          <w:lang w:val="en-US" w:eastAsia="zh-CN"/>
        </w:rPr>
        <w:t>仍</w:t>
      </w:r>
      <w:r>
        <w:rPr>
          <w:rFonts w:hint="eastAsia" w:hAnsi="Times New Roman" w:cs="Times New Roman"/>
          <w:szCs w:val="32"/>
        </w:rPr>
        <w:t>存在部分</w:t>
      </w:r>
      <w:r>
        <w:rPr>
          <w:rFonts w:hint="eastAsia" w:hAnsi="Times New Roman" w:cs="Times New Roman"/>
          <w:szCs w:val="32"/>
          <w:lang w:val="en-US" w:eastAsia="zh-CN"/>
        </w:rPr>
        <w:t>市县财政不能</w:t>
      </w:r>
      <w:r>
        <w:rPr>
          <w:rFonts w:hint="eastAsia" w:hAnsi="Times New Roman" w:cs="Times New Roman"/>
          <w:szCs w:val="32"/>
        </w:rPr>
        <w:t>及时拨付补贴资金、三大主粮完全成本保险覆盖面有待提高等问题，</w:t>
      </w:r>
      <w:r>
        <w:rPr>
          <w:rFonts w:hint="eastAsia" w:cs="Times New Roman"/>
          <w:szCs w:val="32"/>
          <w:lang w:val="en-US" w:eastAsia="zh-CN"/>
        </w:rPr>
        <w:t>针对以上问题，</w:t>
      </w:r>
      <w:r>
        <w:rPr>
          <w:rFonts w:hint="eastAsia" w:hAnsi="Times New Roman" w:cs="Times New Roman"/>
          <w:szCs w:val="32"/>
        </w:rPr>
        <w:t>现提出以下改进措施</w:t>
      </w:r>
      <w:r>
        <w:rPr>
          <w:rFonts w:hint="eastAsia" w:hAnsi="Times New Roman" w:cs="Times New Roman"/>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32" w:firstLineChars="200"/>
        <w:textAlignment w:val="auto"/>
        <w:rPr>
          <w:rFonts w:hint="eastAsia" w:ascii="楷体_GB2312" w:eastAsia="楷体_GB2312"/>
          <w:sz w:val="32"/>
          <w:szCs w:val="32"/>
          <w:lang w:val="en-US" w:eastAsia="zh-CN"/>
        </w:rPr>
      </w:pPr>
      <w:r>
        <w:rPr>
          <w:rFonts w:hint="eastAsia" w:ascii="楷体_GB2312" w:eastAsia="楷体_GB2312"/>
          <w:sz w:val="32"/>
          <w:szCs w:val="32"/>
          <w:lang w:val="en-US" w:eastAsia="zh-CN"/>
        </w:rPr>
        <w:t>（一）</w:t>
      </w:r>
      <w:r>
        <w:rPr>
          <w:rFonts w:hint="default" w:ascii="楷体_GB2312" w:eastAsia="楷体_GB2312"/>
          <w:sz w:val="32"/>
          <w:szCs w:val="32"/>
          <w:lang w:val="en-US" w:eastAsia="zh-CN"/>
        </w:rPr>
        <w:t>加大支持力度，</w:t>
      </w:r>
      <w:r>
        <w:rPr>
          <w:rFonts w:hint="eastAsia" w:ascii="楷体_GB2312" w:eastAsia="楷体_GB2312"/>
          <w:sz w:val="32"/>
          <w:szCs w:val="32"/>
          <w:lang w:val="en-US" w:eastAsia="zh-CN"/>
        </w:rPr>
        <w:t>督促市县及时拨付补贴资金。</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int="eastAsia" w:hAnsi="Times New Roman" w:cs="Times New Roman"/>
          <w:szCs w:val="32"/>
          <w:lang w:val="en-US" w:eastAsia="zh-CN"/>
        </w:rPr>
      </w:pPr>
      <w:r>
        <w:rPr>
          <w:rFonts w:hint="eastAsia" w:cs="Times New Roman"/>
          <w:szCs w:val="32"/>
          <w:lang w:val="en-US" w:eastAsia="zh-CN"/>
        </w:rPr>
        <w:t>一是继续做好省级预算资金安排工作。</w:t>
      </w:r>
      <w:r>
        <w:rPr>
          <w:rFonts w:hint="eastAsia" w:hAnsi="Times New Roman" w:cs="Times New Roman"/>
          <w:szCs w:val="32"/>
          <w:lang w:val="en-US" w:eastAsia="zh-CN"/>
        </w:rPr>
        <w:t>我省</w:t>
      </w:r>
      <w:r>
        <w:rPr>
          <w:rFonts w:hint="eastAsia" w:cs="Times New Roman"/>
          <w:szCs w:val="32"/>
          <w:lang w:val="en-US" w:eastAsia="zh-CN"/>
        </w:rPr>
        <w:t>2024年</w:t>
      </w:r>
      <w:r>
        <w:rPr>
          <w:rFonts w:hint="eastAsia" w:hAnsi="Times New Roman" w:cs="Times New Roman"/>
          <w:szCs w:val="32"/>
          <w:lang w:val="en-US" w:eastAsia="zh-CN"/>
        </w:rPr>
        <w:t>安排政策性农业保险省级预算资金共计</w:t>
      </w:r>
      <w:r>
        <w:rPr>
          <w:rFonts w:hint="eastAsia" w:cs="Times New Roman"/>
          <w:szCs w:val="32"/>
          <w:lang w:val="en-US" w:eastAsia="zh-CN"/>
        </w:rPr>
        <w:t>8.5</w:t>
      </w:r>
      <w:r>
        <w:rPr>
          <w:rFonts w:hint="eastAsia" w:hAnsi="Times New Roman" w:cs="Times New Roman"/>
          <w:szCs w:val="32"/>
          <w:lang w:val="en-US" w:eastAsia="zh-CN"/>
        </w:rPr>
        <w:t>亿元，有针对性地提高主要粮油和特色农产品保险覆盖面和保障程度。</w:t>
      </w:r>
      <w:r>
        <w:rPr>
          <w:rFonts w:hint="eastAsia" w:cs="Times New Roman"/>
          <w:szCs w:val="32"/>
          <w:lang w:val="en-US" w:eastAsia="zh-CN"/>
        </w:rPr>
        <w:t>二是</w:t>
      </w:r>
      <w:r>
        <w:rPr>
          <w:rFonts w:hint="eastAsia" w:hAnsi="Times New Roman" w:cs="Times New Roman"/>
          <w:szCs w:val="32"/>
          <w:lang w:val="en-US" w:eastAsia="zh-CN"/>
        </w:rPr>
        <w:t>进一步建立和完善保费补贴资金调度工作机制，</w:t>
      </w:r>
      <w:r>
        <w:rPr>
          <w:rFonts w:hint="eastAsia" w:cs="Times New Roman"/>
          <w:szCs w:val="32"/>
          <w:lang w:val="en-US" w:eastAsia="zh-CN"/>
        </w:rPr>
        <w:t>积极</w:t>
      </w:r>
      <w:r>
        <w:rPr>
          <w:rFonts w:hint="eastAsia" w:hAnsi="Times New Roman" w:cs="Times New Roman"/>
          <w:szCs w:val="32"/>
          <w:lang w:val="en-US" w:eastAsia="zh-CN"/>
        </w:rPr>
        <w:t>对市、县两级配套补贴资金开展农业保险督导，</w:t>
      </w:r>
      <w:r>
        <w:rPr>
          <w:rFonts w:hint="eastAsia" w:cs="Times New Roman"/>
          <w:szCs w:val="32"/>
          <w:lang w:val="en-US" w:eastAsia="zh-CN"/>
        </w:rPr>
        <w:t>对未及时拨付的地区削减其省级补贴资金规模，</w:t>
      </w:r>
      <w:r>
        <w:rPr>
          <w:rFonts w:hint="eastAsia" w:hAnsi="Times New Roman" w:cs="Times New Roman"/>
          <w:szCs w:val="32"/>
          <w:lang w:val="en-US" w:eastAsia="zh-CN"/>
        </w:rPr>
        <w:t>督促各地及时、足额拨付各级保费补贴资金。</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32" w:firstLineChars="200"/>
        <w:textAlignment w:val="auto"/>
        <w:rPr>
          <w:rFonts w:hint="eastAsia" w:ascii="楷体_GB2312" w:hAnsi="Times New Roman" w:eastAsia="楷体_GB2312" w:cs="Times New Roman"/>
          <w:sz w:val="32"/>
          <w:szCs w:val="32"/>
          <w:lang w:val="en-US" w:eastAsia="zh-CN"/>
        </w:rPr>
      </w:pPr>
      <w:r>
        <w:rPr>
          <w:rFonts w:hint="eastAsia" w:ascii="楷体_GB2312" w:eastAsia="楷体_GB2312" w:cs="Times New Roman"/>
          <w:sz w:val="32"/>
          <w:szCs w:val="32"/>
          <w:lang w:val="en-US" w:eastAsia="zh-CN"/>
        </w:rPr>
        <w:t>（二）</w:t>
      </w:r>
      <w:r>
        <w:rPr>
          <w:rFonts w:hint="eastAsia" w:ascii="楷体_GB2312" w:hAnsi="Times New Roman" w:eastAsia="楷体_GB2312" w:cs="Times New Roman"/>
          <w:sz w:val="32"/>
          <w:szCs w:val="32"/>
          <w:lang w:val="en-US" w:eastAsia="zh-CN"/>
        </w:rPr>
        <w:t>围绕惠农支农目标，丰富农业保险产品。</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int="eastAsia"/>
          <w:lang w:val="en-US" w:eastAsia="zh-CN"/>
        </w:rPr>
      </w:pPr>
      <w:r>
        <w:rPr>
          <w:rFonts w:hint="eastAsia" w:hAnsi="仿宋_GB2312" w:cs="仿宋_GB2312"/>
          <w:szCs w:val="32"/>
          <w:lang w:val="en-US" w:eastAsia="zh-CN"/>
        </w:rPr>
        <w:t>一是提升粮食保险保障水平，提高种粮农户收益。持续推动产粮大县水稻、玉米、小麦等三大粮食作物完全成本保险全面开展，加大省级政策支持力度，将省级新增预算规模向产粮大县倾斜，提高产粮大县完全成本保险覆盖率。二是加大地方特色保险产品政策支持力度，鼓励保险公司收入类保险产品供给，在稳定成本类保险供给的基础上，提升收入类保险占比，满足各类农业生产主体日益增长的多样化保险需求，真正实现助力农户增收、提升农户获得感。</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int="eastAsia" w:ascii="黑体" w:hAnsi="黑体" w:eastAsia="黑体" w:cs="黑体"/>
        </w:rPr>
      </w:pPr>
      <w:r>
        <w:rPr>
          <w:rFonts w:hint="eastAsia" w:ascii="黑体" w:hAnsi="黑体" w:eastAsia="黑体" w:cs="黑体"/>
        </w:rPr>
        <w:t>五、绩效评价结果应用建议</w:t>
      </w:r>
    </w:p>
    <w:p>
      <w:pPr>
        <w:pStyle w:val="10"/>
        <w:keepNext w:val="0"/>
        <w:keepLines w:val="0"/>
        <w:pageBreakBefore w:val="0"/>
        <w:widowControl w:val="0"/>
        <w:kinsoku/>
        <w:wordWrap/>
        <w:overflowPunct/>
        <w:topLinePunct w:val="0"/>
        <w:autoSpaceDE/>
        <w:autoSpaceDN/>
        <w:bidi w:val="0"/>
        <w:adjustRightInd/>
        <w:snapToGrid/>
        <w:spacing w:after="0" w:line="590" w:lineRule="exact"/>
        <w:ind w:left="0" w:leftChars="0" w:right="0" w:rightChars="0" w:firstLine="640"/>
        <w:textAlignment w:val="auto"/>
        <w:rPr>
          <w:rFonts w:hint="eastAsia" w:hAnsi="黑体" w:cs="黑体"/>
        </w:rPr>
      </w:pPr>
      <w:r>
        <w:rPr>
          <w:rFonts w:hint="eastAsia" w:hAnsi="黑体" w:cs="黑体"/>
        </w:rPr>
        <w:t>对本次绩效评价结果，贵州省财政厅拟按要求公开绩效自评结果，并以此结果为依据，制定下一步工作计划，优化农业保险保费补贴资金政策，强化202</w:t>
      </w:r>
      <w:r>
        <w:rPr>
          <w:rFonts w:hint="eastAsia" w:hAnsi="黑体" w:cs="黑体"/>
          <w:lang w:val="en-US" w:eastAsia="zh-CN"/>
        </w:rPr>
        <w:t>4</w:t>
      </w:r>
      <w:r>
        <w:rPr>
          <w:rFonts w:hint="eastAsia" w:hAnsi="黑体" w:cs="黑体"/>
        </w:rPr>
        <w:t>年度专项资金使用管理效率。</w:t>
      </w: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rPr>
          <w:rFonts w:hAnsi="黑体"/>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szCs w:val="32"/>
        </w:rPr>
      </w:pPr>
      <w:r>
        <w:rPr>
          <w:rFonts w:hint="eastAsia" w:hAnsi="黑体"/>
          <w:szCs w:val="32"/>
        </w:rPr>
        <w:t>附件：</w:t>
      </w:r>
      <w:r>
        <w:rPr>
          <w:rFonts w:hint="eastAsia"/>
          <w:szCs w:val="32"/>
        </w:rPr>
        <w:t>贵州省202</w:t>
      </w:r>
      <w:r>
        <w:rPr>
          <w:rFonts w:hint="eastAsia"/>
          <w:szCs w:val="32"/>
          <w:lang w:val="en-US" w:eastAsia="zh-CN"/>
        </w:rPr>
        <w:t>3</w:t>
      </w:r>
      <w:r>
        <w:rPr>
          <w:rFonts w:hint="eastAsia"/>
          <w:szCs w:val="32"/>
        </w:rPr>
        <w:t>年农业保险保费补贴综合绩效评价表</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jc w:val="right"/>
        <w:textAlignment w:val="auto"/>
        <w:rPr>
          <w:rFonts w:hint="eastAsia" w:hAnsi="黑体"/>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jc w:val="right"/>
        <w:textAlignment w:val="auto"/>
        <w:rPr>
          <w:rFonts w:hint="eastAsia" w:hAnsi="黑体"/>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jc w:val="right"/>
        <w:textAlignment w:val="auto"/>
        <w:rPr>
          <w:rFonts w:hint="eastAsia" w:hAnsi="黑体"/>
          <w:szCs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jc w:val="right"/>
        <w:textAlignment w:val="auto"/>
        <w:rPr>
          <w:rFonts w:hint="eastAsia" w:hAnsi="黑体"/>
          <w:szCs w:val="32"/>
        </w:rPr>
      </w:pPr>
    </w:p>
    <w:p>
      <w:pPr>
        <w:keepNext w:val="0"/>
        <w:keepLines w:val="0"/>
        <w:pageBreakBefore w:val="0"/>
        <w:widowControl w:val="0"/>
        <w:kinsoku/>
        <w:wordWrap w:val="0"/>
        <w:overflowPunct/>
        <w:topLinePunct w:val="0"/>
        <w:autoSpaceDE/>
        <w:autoSpaceDN/>
        <w:bidi w:val="0"/>
        <w:adjustRightInd/>
        <w:snapToGrid/>
        <w:spacing w:line="590" w:lineRule="exact"/>
        <w:ind w:right="0" w:rightChars="0" w:firstLine="632" w:firstLineChars="200"/>
        <w:jc w:val="right"/>
        <w:textAlignment w:val="auto"/>
        <w:rPr>
          <w:rFonts w:hint="default" w:hAnsi="黑体" w:eastAsia="仿宋_GB2312"/>
          <w:szCs w:val="32"/>
          <w:lang w:val="en-US" w:eastAsia="zh-CN"/>
        </w:rPr>
      </w:pPr>
      <w:r>
        <w:rPr>
          <w:rFonts w:hint="eastAsia" w:hAnsi="黑体"/>
          <w:szCs w:val="32"/>
        </w:rPr>
        <w:t>202</w:t>
      </w:r>
      <w:r>
        <w:rPr>
          <w:rFonts w:hint="eastAsia" w:hAnsi="黑体"/>
          <w:szCs w:val="32"/>
          <w:lang w:val="en-US" w:eastAsia="zh-CN"/>
        </w:rPr>
        <w:t>4</w:t>
      </w:r>
      <w:r>
        <w:rPr>
          <w:rFonts w:hint="eastAsia" w:hAnsi="黑体"/>
          <w:szCs w:val="32"/>
        </w:rPr>
        <w:t>年</w:t>
      </w:r>
      <w:r>
        <w:rPr>
          <w:rFonts w:hint="eastAsia" w:hAnsi="黑体"/>
          <w:szCs w:val="32"/>
          <w:lang w:val="en-US" w:eastAsia="zh-CN"/>
        </w:rPr>
        <w:t>4</w:t>
      </w:r>
      <w:r>
        <w:rPr>
          <w:rFonts w:hint="eastAsia" w:hAnsi="黑体"/>
          <w:szCs w:val="32"/>
        </w:rPr>
        <w:t>月</w:t>
      </w:r>
      <w:r>
        <w:rPr>
          <w:rFonts w:hint="eastAsia" w:hAnsi="黑体"/>
          <w:szCs w:val="32"/>
          <w:lang w:val="en-US" w:eastAsia="zh-CN"/>
        </w:rPr>
        <w:t>12</w:t>
      </w:r>
      <w:r>
        <w:rPr>
          <w:rFonts w:hint="eastAsia" w:hAnsi="黑体"/>
          <w:szCs w:val="32"/>
        </w:rPr>
        <w:t>日</w:t>
      </w:r>
      <w:r>
        <w:rPr>
          <w:rFonts w:hint="eastAsia" w:hAnsi="黑体"/>
          <w:szCs w:val="32"/>
          <w:lang w:val="en-US" w:eastAsia="zh-CN"/>
        </w:rPr>
        <w:t xml:space="preserve">       </w:t>
      </w:r>
    </w:p>
    <w:p>
      <w:pPr>
        <w:spacing w:line="590" w:lineRule="exact"/>
        <w:ind w:firstLine="632" w:firstLineChars="200"/>
        <w:rPr>
          <w:rFonts w:hint="eastAsia" w:hAnsi="黑体"/>
          <w:szCs w:val="32"/>
        </w:rPr>
      </w:pPr>
    </w:p>
    <w:p>
      <w:pPr>
        <w:spacing w:line="590" w:lineRule="exact"/>
        <w:ind w:firstLine="632" w:firstLineChars="200"/>
        <w:rPr>
          <w:rFonts w:hint="eastAsia" w:hAnsi="黑体"/>
          <w:szCs w:val="32"/>
        </w:rPr>
      </w:pPr>
    </w:p>
    <w:p>
      <w:pPr>
        <w:spacing w:line="590" w:lineRule="exact"/>
        <w:ind w:firstLine="632" w:firstLineChars="200"/>
        <w:rPr>
          <w:rFonts w:hAnsi="黑体"/>
          <w:szCs w:val="32"/>
        </w:rPr>
      </w:pPr>
    </w:p>
    <w:tbl>
      <w:tblPr>
        <w:tblStyle w:val="12"/>
        <w:tblpPr w:leftFromText="181" w:rightFromText="181" w:horzAnchor="margin" w:tblpXSpec="center" w:tblpYSpec="bottom"/>
        <w:tblOverlap w:val="never"/>
        <w:tblW w:w="8844" w:type="dxa"/>
        <w:tblInd w:w="0" w:type="dxa"/>
        <w:tblBorders>
          <w:top w:val="single" w:color="000000" w:sz="8" w:space="0"/>
          <w:left w:val="none" w:color="auto" w:sz="0" w:space="0"/>
          <w:bottom w:val="none" w:color="auto" w:sz="0" w:space="0"/>
          <w:right w:val="none" w:color="auto" w:sz="0" w:space="0"/>
          <w:insideH w:val="single" w:color="000000" w:sz="8" w:space="0"/>
          <w:insideV w:val="none" w:color="auto" w:sz="0" w:space="0"/>
        </w:tblBorders>
        <w:tblLayout w:type="fixed"/>
        <w:tblCellMar>
          <w:top w:w="0" w:type="dxa"/>
          <w:left w:w="0" w:type="dxa"/>
          <w:bottom w:w="0" w:type="dxa"/>
          <w:right w:w="0" w:type="dxa"/>
        </w:tblCellMar>
      </w:tblPr>
      <w:tblGrid>
        <w:gridCol w:w="4422"/>
        <w:gridCol w:w="4422"/>
      </w:tblGrid>
      <w:tr>
        <w:tblPrEx>
          <w:tblBorders>
            <w:top w:val="single" w:color="000000" w:sz="8" w:space="0"/>
            <w:left w:val="none" w:color="auto" w:sz="0" w:space="0"/>
            <w:bottom w:val="none" w:color="auto" w:sz="0" w:space="0"/>
            <w:right w:val="none" w:color="auto" w:sz="0" w:space="0"/>
            <w:insideH w:val="single" w:color="000000" w:sz="8" w:space="0"/>
            <w:insideV w:val="none" w:color="auto" w:sz="0" w:space="0"/>
          </w:tblBorders>
          <w:tblLayout w:type="fixed"/>
          <w:tblCellMar>
            <w:top w:w="0" w:type="dxa"/>
            <w:left w:w="0" w:type="dxa"/>
            <w:bottom w:w="0" w:type="dxa"/>
            <w:right w:w="0" w:type="dxa"/>
          </w:tblCellMar>
        </w:tblPrEx>
        <w:tc>
          <w:tcPr>
            <w:tcW w:w="8844" w:type="dxa"/>
            <w:gridSpan w:val="2"/>
            <w:tcBorders>
              <w:bottom w:val="single" w:color="000000" w:sz="6" w:space="0"/>
            </w:tcBorders>
            <w:noWrap w:val="0"/>
            <w:vAlign w:val="top"/>
          </w:tcPr>
          <w:p>
            <w:pPr>
              <w:ind w:left="1144" w:leftChars="100" w:right="316" w:rightChars="100" w:hanging="828" w:hangingChars="300"/>
              <w:rPr>
                <w:rFonts w:hint="eastAsia" w:hAnsi="黑体"/>
                <w:sz w:val="28"/>
                <w:szCs w:val="28"/>
              </w:rPr>
            </w:pPr>
            <w:r>
              <w:rPr>
                <w:rFonts w:hint="eastAsia" w:hAnsi="黑体"/>
                <w:sz w:val="28"/>
                <w:szCs w:val="28"/>
              </w:rPr>
              <w:t>抄送：财政部贵州监管局。</w:t>
            </w:r>
          </w:p>
        </w:tc>
      </w:tr>
      <w:tr>
        <w:tblPrEx>
          <w:tblBorders>
            <w:top w:val="single" w:color="000000" w:sz="8" w:space="0"/>
            <w:left w:val="none" w:color="auto" w:sz="0" w:space="0"/>
            <w:bottom w:val="none" w:color="auto" w:sz="0" w:space="0"/>
            <w:right w:val="none" w:color="auto" w:sz="0" w:space="0"/>
            <w:insideH w:val="single" w:color="000000" w:sz="8" w:space="0"/>
            <w:insideV w:val="none" w:color="auto" w:sz="0" w:space="0"/>
          </w:tblBorders>
          <w:tblLayout w:type="fixed"/>
          <w:tblCellMar>
            <w:top w:w="0" w:type="dxa"/>
            <w:left w:w="0" w:type="dxa"/>
            <w:bottom w:w="0" w:type="dxa"/>
            <w:right w:w="0" w:type="dxa"/>
          </w:tblCellMar>
        </w:tblPrEx>
        <w:tc>
          <w:tcPr>
            <w:tcW w:w="4422" w:type="dxa"/>
            <w:tcBorders>
              <w:top w:val="single" w:color="000000" w:sz="6" w:space="0"/>
              <w:bottom w:val="single" w:color="000000" w:sz="8" w:space="0"/>
            </w:tcBorders>
            <w:noWrap w:val="0"/>
            <w:vAlign w:val="top"/>
          </w:tcPr>
          <w:p>
            <w:pPr>
              <w:ind w:left="316" w:leftChars="100"/>
              <w:jc w:val="left"/>
              <w:rPr>
                <w:rFonts w:hint="eastAsia" w:hAnsi="黑体"/>
                <w:sz w:val="28"/>
                <w:szCs w:val="28"/>
              </w:rPr>
            </w:pPr>
            <w:r>
              <w:rPr>
                <w:rFonts w:hint="eastAsia" w:hAnsi="黑体"/>
                <w:sz w:val="28"/>
                <w:szCs w:val="28"/>
              </w:rPr>
              <w:t xml:space="preserve">贵州省财政厅办公室                   </w:t>
            </w:r>
            <w:bookmarkStart w:id="0" w:name="OLE_LINK1"/>
            <w:bookmarkStart w:id="1" w:name="OLE_LINK2"/>
          </w:p>
          <w:bookmarkEnd w:id="0"/>
          <w:bookmarkEnd w:id="1"/>
        </w:tc>
        <w:tc>
          <w:tcPr>
            <w:tcW w:w="4422" w:type="dxa"/>
            <w:tcBorders>
              <w:top w:val="single" w:color="000000" w:sz="6" w:space="0"/>
              <w:bottom w:val="single" w:color="000000" w:sz="8" w:space="0"/>
            </w:tcBorders>
            <w:noWrap w:val="0"/>
            <w:vAlign w:val="top"/>
          </w:tcPr>
          <w:p>
            <w:pPr>
              <w:ind w:right="316" w:rightChars="100"/>
              <w:jc w:val="right"/>
              <w:rPr>
                <w:rFonts w:hint="eastAsia" w:hAnsi="黑体"/>
                <w:sz w:val="28"/>
                <w:szCs w:val="28"/>
              </w:rPr>
            </w:pPr>
            <w:r>
              <w:rPr>
                <w:rFonts w:hint="eastAsia" w:hAnsi="黑体"/>
                <w:sz w:val="28"/>
                <w:szCs w:val="28"/>
              </w:rPr>
              <w:t>202</w:t>
            </w:r>
            <w:r>
              <w:rPr>
                <w:rFonts w:hint="eastAsia" w:hAnsi="黑体"/>
                <w:sz w:val="28"/>
                <w:szCs w:val="28"/>
                <w:lang w:val="en-US" w:eastAsia="zh-CN"/>
              </w:rPr>
              <w:t>4</w:t>
            </w:r>
            <w:r>
              <w:rPr>
                <w:rFonts w:hint="eastAsia" w:hAnsi="黑体"/>
                <w:sz w:val="28"/>
                <w:szCs w:val="28"/>
              </w:rPr>
              <w:t>年</w:t>
            </w:r>
            <w:r>
              <w:rPr>
                <w:rFonts w:hint="eastAsia" w:hAnsi="黑体"/>
                <w:sz w:val="28"/>
                <w:szCs w:val="28"/>
                <w:lang w:val="en-US" w:eastAsia="zh-CN"/>
              </w:rPr>
              <w:t>4</w:t>
            </w:r>
            <w:r>
              <w:rPr>
                <w:rFonts w:hint="eastAsia" w:hAnsi="黑体"/>
                <w:sz w:val="28"/>
                <w:szCs w:val="28"/>
              </w:rPr>
              <w:t>月</w:t>
            </w:r>
            <w:r>
              <w:rPr>
                <w:rFonts w:hint="eastAsia" w:hAnsi="黑体"/>
                <w:sz w:val="28"/>
                <w:szCs w:val="28"/>
                <w:lang w:val="en-US" w:eastAsia="zh-CN"/>
              </w:rPr>
              <w:t>12</w:t>
            </w:r>
            <w:bookmarkStart w:id="2" w:name="_GoBack"/>
            <w:bookmarkEnd w:id="2"/>
            <w:r>
              <w:rPr>
                <w:rFonts w:hint="eastAsia" w:hAnsi="黑体"/>
                <w:sz w:val="28"/>
                <w:szCs w:val="28"/>
              </w:rPr>
              <w:t>日印发</w:t>
            </w:r>
          </w:p>
        </w:tc>
      </w:tr>
      <w:tr>
        <w:tblPrEx>
          <w:tblBorders>
            <w:top w:val="single" w:color="000000" w:sz="8" w:space="0"/>
            <w:left w:val="none" w:color="auto" w:sz="0" w:space="0"/>
            <w:bottom w:val="none" w:color="auto" w:sz="0" w:space="0"/>
            <w:right w:val="none" w:color="auto" w:sz="0" w:space="0"/>
            <w:insideH w:val="single" w:color="000000" w:sz="8" w:space="0"/>
            <w:insideV w:val="none" w:color="auto" w:sz="0" w:space="0"/>
          </w:tblBorders>
          <w:tblLayout w:type="fixed"/>
          <w:tblCellMar>
            <w:top w:w="0" w:type="dxa"/>
            <w:left w:w="0" w:type="dxa"/>
            <w:bottom w:w="0" w:type="dxa"/>
            <w:right w:w="0" w:type="dxa"/>
          </w:tblCellMar>
        </w:tblPrEx>
        <w:tc>
          <w:tcPr>
            <w:tcW w:w="8844" w:type="dxa"/>
            <w:gridSpan w:val="2"/>
            <w:tcBorders>
              <w:top w:val="single" w:color="000000" w:sz="8" w:space="0"/>
            </w:tcBorders>
            <w:noWrap w:val="0"/>
            <w:vAlign w:val="top"/>
          </w:tcPr>
          <w:p>
            <w:pPr>
              <w:ind w:left="316" w:leftChars="100" w:right="948" w:rightChars="300"/>
              <w:jc w:val="right"/>
              <w:rPr>
                <w:rFonts w:hint="eastAsia" w:hAnsi="黑体"/>
                <w:sz w:val="28"/>
                <w:szCs w:val="28"/>
              </w:rPr>
            </w:pPr>
            <w:r>
              <w:rPr>
                <w:rFonts w:hint="eastAsia" w:hAnsi="黑体"/>
                <w:sz w:val="28"/>
                <w:szCs w:val="28"/>
              </w:rPr>
              <w:t>共印</w:t>
            </w:r>
            <w:r>
              <w:rPr>
                <w:rFonts w:hint="eastAsia" w:hAnsi="黑体"/>
                <w:sz w:val="28"/>
                <w:szCs w:val="28"/>
                <w:lang w:val="en-US" w:eastAsia="zh-CN"/>
              </w:rPr>
              <w:t>4</w:t>
            </w:r>
            <w:r>
              <w:rPr>
                <w:rFonts w:hint="eastAsia" w:hAnsi="黑体"/>
                <w:sz w:val="28"/>
                <w:szCs w:val="28"/>
              </w:rPr>
              <w:t>份</w:t>
            </w:r>
          </w:p>
        </w:tc>
      </w:tr>
    </w:tbl>
    <w:p>
      <w:pPr>
        <w:ind w:firstLine="632" w:firstLineChars="200"/>
        <w:rPr>
          <w:rFonts w:hint="eastAsia" w:hAnsi="黑体"/>
          <w:szCs w:val="32"/>
        </w:rPr>
      </w:pPr>
    </w:p>
    <w:sectPr>
      <w:headerReference r:id="rId3" w:type="default"/>
      <w:footerReference r:id="rId4" w:type="default"/>
      <w:footerReference r:id="rId5" w:type="even"/>
      <w:pgSz w:w="11906" w:h="16838"/>
      <w:pgMar w:top="1928" w:right="1474" w:bottom="1928" w:left="1588" w:header="851" w:footer="1474" w:gutter="0"/>
      <w:cols w:space="720" w:num="1"/>
      <w:docGrid w:type="linesAndChars" w:linePitch="59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320" w:leftChars="100" w:right="320" w:rightChars="100"/>
      <w:jc w:val="righ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320" w:leftChars="100" w:right="320" w:rightChars="10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right"/>
      <w:rPr>
        <w:rFonts w:hint="eastAsia" w:ascii="黑体" w:hAnsi="黑体" w:eastAsia="黑体" w:cs="黑体"/>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E4009"/>
    <w:multiLevelType w:val="singleLevel"/>
    <w:tmpl w:val="6A5E400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evenAndOddHeaders w:val="1"/>
  <w:drawingGridHorizontalSpacing w:val="158"/>
  <w:drawingGridVerticalSpacing w:val="29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1OGQ2OTk2N2FkNjNhNTg3MjFhZjNjMmFmY2JkZDUifQ=="/>
    <w:docVar w:name="KGWebUrl" w:val="http://10.100.51.226:80/seeyon/officeservlet"/>
  </w:docVars>
  <w:rsids>
    <w:rsidRoot w:val="00524F3B"/>
    <w:rsid w:val="000233FB"/>
    <w:rsid w:val="00024594"/>
    <w:rsid w:val="00041A8F"/>
    <w:rsid w:val="000525BB"/>
    <w:rsid w:val="00052D43"/>
    <w:rsid w:val="00055C3C"/>
    <w:rsid w:val="0007537D"/>
    <w:rsid w:val="00082FAC"/>
    <w:rsid w:val="00092BBA"/>
    <w:rsid w:val="000A3833"/>
    <w:rsid w:val="000B10B9"/>
    <w:rsid w:val="000C3E51"/>
    <w:rsid w:val="000D0C70"/>
    <w:rsid w:val="000F627B"/>
    <w:rsid w:val="001021C1"/>
    <w:rsid w:val="0010290F"/>
    <w:rsid w:val="001153E2"/>
    <w:rsid w:val="00123231"/>
    <w:rsid w:val="00134136"/>
    <w:rsid w:val="0013513C"/>
    <w:rsid w:val="00135EBB"/>
    <w:rsid w:val="00137C16"/>
    <w:rsid w:val="001424EF"/>
    <w:rsid w:val="00153CEE"/>
    <w:rsid w:val="0017379B"/>
    <w:rsid w:val="0017386C"/>
    <w:rsid w:val="00181A9A"/>
    <w:rsid w:val="001827DB"/>
    <w:rsid w:val="0018355D"/>
    <w:rsid w:val="00184E74"/>
    <w:rsid w:val="001918E1"/>
    <w:rsid w:val="00192D53"/>
    <w:rsid w:val="001A40C5"/>
    <w:rsid w:val="001B1552"/>
    <w:rsid w:val="001B4296"/>
    <w:rsid w:val="001D3772"/>
    <w:rsid w:val="001F4AED"/>
    <w:rsid w:val="001F5C9B"/>
    <w:rsid w:val="00220100"/>
    <w:rsid w:val="00232462"/>
    <w:rsid w:val="00235505"/>
    <w:rsid w:val="002548DD"/>
    <w:rsid w:val="002700E7"/>
    <w:rsid w:val="00274470"/>
    <w:rsid w:val="00293953"/>
    <w:rsid w:val="00294C3A"/>
    <w:rsid w:val="00295983"/>
    <w:rsid w:val="00295AD0"/>
    <w:rsid w:val="002A1430"/>
    <w:rsid w:val="002A24FB"/>
    <w:rsid w:val="002A667B"/>
    <w:rsid w:val="002B4C79"/>
    <w:rsid w:val="002B5365"/>
    <w:rsid w:val="002C7D19"/>
    <w:rsid w:val="002D44BC"/>
    <w:rsid w:val="002F5059"/>
    <w:rsid w:val="00302D29"/>
    <w:rsid w:val="003078CF"/>
    <w:rsid w:val="00307BA1"/>
    <w:rsid w:val="00311BD5"/>
    <w:rsid w:val="003321FE"/>
    <w:rsid w:val="003450D8"/>
    <w:rsid w:val="00345BC2"/>
    <w:rsid w:val="00354369"/>
    <w:rsid w:val="00372DF5"/>
    <w:rsid w:val="00381818"/>
    <w:rsid w:val="00383F47"/>
    <w:rsid w:val="00392A27"/>
    <w:rsid w:val="003C45FF"/>
    <w:rsid w:val="003D06D0"/>
    <w:rsid w:val="003D290D"/>
    <w:rsid w:val="003F3585"/>
    <w:rsid w:val="003F7BE6"/>
    <w:rsid w:val="00400D8E"/>
    <w:rsid w:val="0042138C"/>
    <w:rsid w:val="0042683E"/>
    <w:rsid w:val="00434B98"/>
    <w:rsid w:val="00442FB0"/>
    <w:rsid w:val="00457AD2"/>
    <w:rsid w:val="00466EA0"/>
    <w:rsid w:val="0048310D"/>
    <w:rsid w:val="00497128"/>
    <w:rsid w:val="004A142A"/>
    <w:rsid w:val="004D581E"/>
    <w:rsid w:val="004D6015"/>
    <w:rsid w:val="004E0702"/>
    <w:rsid w:val="005128BD"/>
    <w:rsid w:val="00524F3B"/>
    <w:rsid w:val="00531ADB"/>
    <w:rsid w:val="00540052"/>
    <w:rsid w:val="00544C9D"/>
    <w:rsid w:val="00560283"/>
    <w:rsid w:val="005602E1"/>
    <w:rsid w:val="00567E67"/>
    <w:rsid w:val="00586331"/>
    <w:rsid w:val="0059344E"/>
    <w:rsid w:val="00594399"/>
    <w:rsid w:val="005A0711"/>
    <w:rsid w:val="005A667E"/>
    <w:rsid w:val="005B6C91"/>
    <w:rsid w:val="005F1101"/>
    <w:rsid w:val="005F3250"/>
    <w:rsid w:val="005F749E"/>
    <w:rsid w:val="00606F75"/>
    <w:rsid w:val="0061661C"/>
    <w:rsid w:val="00624CB6"/>
    <w:rsid w:val="006426DF"/>
    <w:rsid w:val="0064403E"/>
    <w:rsid w:val="006571D5"/>
    <w:rsid w:val="0066036A"/>
    <w:rsid w:val="00664710"/>
    <w:rsid w:val="00685759"/>
    <w:rsid w:val="006B62BF"/>
    <w:rsid w:val="006C6E76"/>
    <w:rsid w:val="006D197D"/>
    <w:rsid w:val="006D1EAE"/>
    <w:rsid w:val="006D2255"/>
    <w:rsid w:val="006D594B"/>
    <w:rsid w:val="006F063F"/>
    <w:rsid w:val="006F160F"/>
    <w:rsid w:val="00700818"/>
    <w:rsid w:val="00706BCF"/>
    <w:rsid w:val="007115D8"/>
    <w:rsid w:val="00711C48"/>
    <w:rsid w:val="007423DB"/>
    <w:rsid w:val="0075043F"/>
    <w:rsid w:val="0075254D"/>
    <w:rsid w:val="007A6EC7"/>
    <w:rsid w:val="007B7A4D"/>
    <w:rsid w:val="007C51A1"/>
    <w:rsid w:val="007F25DF"/>
    <w:rsid w:val="007F46DB"/>
    <w:rsid w:val="00800965"/>
    <w:rsid w:val="0080395C"/>
    <w:rsid w:val="00810282"/>
    <w:rsid w:val="00817DD9"/>
    <w:rsid w:val="0082039C"/>
    <w:rsid w:val="0082186A"/>
    <w:rsid w:val="00822FE8"/>
    <w:rsid w:val="00832B75"/>
    <w:rsid w:val="00835AD2"/>
    <w:rsid w:val="008525ED"/>
    <w:rsid w:val="00856074"/>
    <w:rsid w:val="00871AB1"/>
    <w:rsid w:val="00874984"/>
    <w:rsid w:val="0088210F"/>
    <w:rsid w:val="00892C48"/>
    <w:rsid w:val="008A2752"/>
    <w:rsid w:val="008A3593"/>
    <w:rsid w:val="008B6808"/>
    <w:rsid w:val="008C108A"/>
    <w:rsid w:val="008C72DC"/>
    <w:rsid w:val="008F29D9"/>
    <w:rsid w:val="008F4508"/>
    <w:rsid w:val="00922F55"/>
    <w:rsid w:val="0093595C"/>
    <w:rsid w:val="00950671"/>
    <w:rsid w:val="009619D7"/>
    <w:rsid w:val="00965B5C"/>
    <w:rsid w:val="00967198"/>
    <w:rsid w:val="009717F5"/>
    <w:rsid w:val="0098399D"/>
    <w:rsid w:val="00985CB1"/>
    <w:rsid w:val="00997A22"/>
    <w:rsid w:val="009B1BE4"/>
    <w:rsid w:val="009B1C1A"/>
    <w:rsid w:val="009C6E5D"/>
    <w:rsid w:val="009E3AC8"/>
    <w:rsid w:val="00A052CB"/>
    <w:rsid w:val="00A20FAC"/>
    <w:rsid w:val="00A31B4A"/>
    <w:rsid w:val="00A344C1"/>
    <w:rsid w:val="00A45162"/>
    <w:rsid w:val="00A60FB6"/>
    <w:rsid w:val="00A701D2"/>
    <w:rsid w:val="00A8450D"/>
    <w:rsid w:val="00AA6A25"/>
    <w:rsid w:val="00AB05DC"/>
    <w:rsid w:val="00AB2246"/>
    <w:rsid w:val="00AB7033"/>
    <w:rsid w:val="00AD5995"/>
    <w:rsid w:val="00AE1E6C"/>
    <w:rsid w:val="00AE64E8"/>
    <w:rsid w:val="00AF631C"/>
    <w:rsid w:val="00B145DF"/>
    <w:rsid w:val="00B23600"/>
    <w:rsid w:val="00B24376"/>
    <w:rsid w:val="00B32B3D"/>
    <w:rsid w:val="00B3453E"/>
    <w:rsid w:val="00B53B3B"/>
    <w:rsid w:val="00B61A66"/>
    <w:rsid w:val="00B8466E"/>
    <w:rsid w:val="00B965FC"/>
    <w:rsid w:val="00BB2C02"/>
    <w:rsid w:val="00BB5475"/>
    <w:rsid w:val="00BB5727"/>
    <w:rsid w:val="00BC1A56"/>
    <w:rsid w:val="00BC2CFD"/>
    <w:rsid w:val="00BD110C"/>
    <w:rsid w:val="00BD653D"/>
    <w:rsid w:val="00BE6850"/>
    <w:rsid w:val="00BF218E"/>
    <w:rsid w:val="00C21CA7"/>
    <w:rsid w:val="00C2540C"/>
    <w:rsid w:val="00C35C7F"/>
    <w:rsid w:val="00C37163"/>
    <w:rsid w:val="00C50C90"/>
    <w:rsid w:val="00C51DB0"/>
    <w:rsid w:val="00C66645"/>
    <w:rsid w:val="00C73A07"/>
    <w:rsid w:val="00C814AF"/>
    <w:rsid w:val="00C87171"/>
    <w:rsid w:val="00C9076D"/>
    <w:rsid w:val="00C91AC4"/>
    <w:rsid w:val="00CB1D93"/>
    <w:rsid w:val="00CC1358"/>
    <w:rsid w:val="00CC24F3"/>
    <w:rsid w:val="00CC6F4B"/>
    <w:rsid w:val="00CE61E8"/>
    <w:rsid w:val="00CF79D9"/>
    <w:rsid w:val="00D2261E"/>
    <w:rsid w:val="00D27DF9"/>
    <w:rsid w:val="00D31028"/>
    <w:rsid w:val="00D31FDC"/>
    <w:rsid w:val="00D41714"/>
    <w:rsid w:val="00D4560B"/>
    <w:rsid w:val="00D53AF0"/>
    <w:rsid w:val="00D5643D"/>
    <w:rsid w:val="00D74C03"/>
    <w:rsid w:val="00D86234"/>
    <w:rsid w:val="00D92D1F"/>
    <w:rsid w:val="00DA4EB2"/>
    <w:rsid w:val="00DA6EEE"/>
    <w:rsid w:val="00DA77AE"/>
    <w:rsid w:val="00DB08A4"/>
    <w:rsid w:val="00DB1CA8"/>
    <w:rsid w:val="00DB5034"/>
    <w:rsid w:val="00DC6301"/>
    <w:rsid w:val="00DE2C31"/>
    <w:rsid w:val="00DF245D"/>
    <w:rsid w:val="00E0072E"/>
    <w:rsid w:val="00E02CF9"/>
    <w:rsid w:val="00E35EE2"/>
    <w:rsid w:val="00E37983"/>
    <w:rsid w:val="00E41858"/>
    <w:rsid w:val="00E42FC4"/>
    <w:rsid w:val="00E73985"/>
    <w:rsid w:val="00E933C1"/>
    <w:rsid w:val="00E97D5F"/>
    <w:rsid w:val="00EA3B67"/>
    <w:rsid w:val="00EA7D71"/>
    <w:rsid w:val="00ED2EC8"/>
    <w:rsid w:val="00ED67E5"/>
    <w:rsid w:val="00EF011D"/>
    <w:rsid w:val="00F032A3"/>
    <w:rsid w:val="00F03A0C"/>
    <w:rsid w:val="00F070C6"/>
    <w:rsid w:val="00F124B1"/>
    <w:rsid w:val="00F20607"/>
    <w:rsid w:val="00F246FA"/>
    <w:rsid w:val="00F360AA"/>
    <w:rsid w:val="00F46138"/>
    <w:rsid w:val="00F50196"/>
    <w:rsid w:val="00F55ADF"/>
    <w:rsid w:val="00F73B15"/>
    <w:rsid w:val="00F95B21"/>
    <w:rsid w:val="00FA2D72"/>
    <w:rsid w:val="00FB1A6F"/>
    <w:rsid w:val="00FD0E28"/>
    <w:rsid w:val="00FE01E7"/>
    <w:rsid w:val="00FF0401"/>
    <w:rsid w:val="06CF3A3C"/>
    <w:rsid w:val="0B8B14BB"/>
    <w:rsid w:val="0D991F29"/>
    <w:rsid w:val="0EF0012B"/>
    <w:rsid w:val="0F193EC8"/>
    <w:rsid w:val="0F1B77E9"/>
    <w:rsid w:val="12320089"/>
    <w:rsid w:val="1571711F"/>
    <w:rsid w:val="181D57A9"/>
    <w:rsid w:val="1B5E0216"/>
    <w:rsid w:val="1C594FEC"/>
    <w:rsid w:val="1CD769E0"/>
    <w:rsid w:val="1FD84E3E"/>
    <w:rsid w:val="22CE62CB"/>
    <w:rsid w:val="239D4B4B"/>
    <w:rsid w:val="23B43D74"/>
    <w:rsid w:val="247916AD"/>
    <w:rsid w:val="262371C0"/>
    <w:rsid w:val="28A97454"/>
    <w:rsid w:val="323F3A34"/>
    <w:rsid w:val="34DB01FE"/>
    <w:rsid w:val="35B96C95"/>
    <w:rsid w:val="36216A66"/>
    <w:rsid w:val="363E65FA"/>
    <w:rsid w:val="38060D37"/>
    <w:rsid w:val="3B332DA6"/>
    <w:rsid w:val="3BB66C5A"/>
    <w:rsid w:val="42904316"/>
    <w:rsid w:val="45687798"/>
    <w:rsid w:val="47042209"/>
    <w:rsid w:val="484366AD"/>
    <w:rsid w:val="48A13081"/>
    <w:rsid w:val="4B7501BC"/>
    <w:rsid w:val="4B935CA4"/>
    <w:rsid w:val="4DC502EE"/>
    <w:rsid w:val="4E8A541A"/>
    <w:rsid w:val="52635B99"/>
    <w:rsid w:val="58D7161E"/>
    <w:rsid w:val="5B7854FD"/>
    <w:rsid w:val="5BC36744"/>
    <w:rsid w:val="5BE370CB"/>
    <w:rsid w:val="5CD6314F"/>
    <w:rsid w:val="64194573"/>
    <w:rsid w:val="64A90B2A"/>
    <w:rsid w:val="65F978D5"/>
    <w:rsid w:val="669E59AC"/>
    <w:rsid w:val="682D5D95"/>
    <w:rsid w:val="6B8D5D0B"/>
    <w:rsid w:val="6F734DE5"/>
    <w:rsid w:val="70341181"/>
    <w:rsid w:val="70370B0D"/>
    <w:rsid w:val="71CF4181"/>
    <w:rsid w:val="71F65CFE"/>
    <w:rsid w:val="72C62273"/>
    <w:rsid w:val="73987907"/>
    <w:rsid w:val="739F1657"/>
    <w:rsid w:val="77751FC9"/>
    <w:rsid w:val="7B59706A"/>
    <w:rsid w:val="7CB7278B"/>
    <w:rsid w:val="7E84026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szCs w:val="22"/>
      <w:lang w:val="en-US" w:eastAsia="zh-CN" w:bidi="ar-SA"/>
    </w:rPr>
  </w:style>
  <w:style w:type="character" w:default="1" w:styleId="14">
    <w:name w:val="Default Paragraph Font"/>
    <w:unhideWhenUsed/>
    <w:qFormat/>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customStyle="1" w:styleId="2">
    <w:name w:val="正文-公1"/>
    <w:basedOn w:val="3"/>
    <w:next w:val="4"/>
    <w:qFormat/>
    <w:uiPriority w:val="0"/>
    <w:pPr>
      <w:ind w:firstLine="200" w:firstLineChars="200"/>
    </w:pPr>
    <w:rPr>
      <w:color w:val="000000"/>
      <w:szCs w:val="21"/>
    </w:rPr>
  </w:style>
  <w:style w:type="paragraph" w:customStyle="1" w:styleId="3">
    <w:name w:val="正文 New"/>
    <w:next w:val="2"/>
    <w:qFormat/>
    <w:uiPriority w:val="0"/>
    <w:pPr>
      <w:widowControl w:val="0"/>
      <w:jc w:val="both"/>
    </w:pPr>
    <w:rPr>
      <w:rFonts w:ascii="Calibri" w:hAnsi="Calibri" w:eastAsia="宋体" w:cs="黑体"/>
      <w:kern w:val="2"/>
      <w:sz w:val="21"/>
      <w:szCs w:val="24"/>
      <w:lang w:val="en-US" w:eastAsia="zh-CN" w:bidi="ar-SA"/>
    </w:rPr>
  </w:style>
  <w:style w:type="paragraph" w:styleId="4">
    <w:name w:val="Normal (Web)"/>
    <w:basedOn w:val="1"/>
    <w:next w:val="5"/>
    <w:qFormat/>
    <w:uiPriority w:val="0"/>
    <w:pPr>
      <w:widowControl/>
      <w:spacing w:before="100" w:beforeAutospacing="1" w:after="100" w:afterAutospacing="1"/>
      <w:jc w:val="left"/>
    </w:pPr>
    <w:rPr>
      <w:rFonts w:ascii="Arial Unicode MS" w:hAnsi="Arial Unicode MS" w:cs="宋体"/>
      <w:kern w:val="0"/>
      <w:sz w:val="24"/>
    </w:rPr>
  </w:style>
  <w:style w:type="paragraph" w:styleId="5">
    <w:name w:val="index 9"/>
    <w:basedOn w:val="1"/>
    <w:next w:val="1"/>
    <w:qFormat/>
    <w:uiPriority w:val="0"/>
    <w:pPr>
      <w:ind w:left="1600" w:leftChars="1600"/>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0"/>
    <w:qFormat/>
    <w:uiPriority w:val="99"/>
    <w:pPr>
      <w:jc w:val="center"/>
      <w:outlineLvl w:val="0"/>
    </w:pPr>
    <w:rPr>
      <w:rFonts w:ascii="Arial" w:hAnsi="Arial"/>
      <w:b/>
      <w:bCs/>
      <w:sz w:val="32"/>
      <w:szCs w:val="32"/>
    </w:rPr>
  </w:style>
  <w:style w:type="paragraph" w:customStyle="1" w:styleId="10">
    <w:name w:val="Body Text First Indent 21"/>
    <w:basedOn w:val="11"/>
    <w:qFormat/>
    <w:uiPriority w:val="0"/>
    <w:pPr>
      <w:spacing w:after="120"/>
      <w:ind w:left="200" w:leftChars="200" w:firstLine="420"/>
    </w:pPr>
    <w:rPr>
      <w:rFonts w:cs="仿宋_GB2312"/>
      <w:szCs w:val="32"/>
    </w:rPr>
  </w:style>
  <w:style w:type="paragraph" w:customStyle="1" w:styleId="11">
    <w:name w:val="Body Text Indent1"/>
    <w:basedOn w:val="1"/>
    <w:qFormat/>
    <w:uiPriority w:val="0"/>
    <w:pPr>
      <w:spacing w:after="120"/>
      <w:ind w:left="420" w:leftChars="200"/>
    </w:pPr>
    <w:rPr>
      <w:rFonts w:ascii="Times New Roman" w:hAnsi="Times New Roman"/>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批注框文本 字符"/>
    <w:link w:val="6"/>
    <w:semiHidden/>
    <w:qFormat/>
    <w:uiPriority w:val="99"/>
    <w:rPr>
      <w:rFonts w:ascii="仿宋_GB2312" w:hAnsi="Times New Roman" w:eastAsia="仿宋_GB2312"/>
      <w:kern w:val="2"/>
      <w:sz w:val="18"/>
      <w:szCs w:val="18"/>
    </w:rPr>
  </w:style>
  <w:style w:type="character" w:customStyle="1" w:styleId="16">
    <w:name w:val="页脚 字符"/>
    <w:link w:val="7"/>
    <w:qFormat/>
    <w:uiPriority w:val="99"/>
    <w:rPr>
      <w:rFonts w:ascii="Times New Roman" w:hAnsi="Times New Roman" w:eastAsia="仿宋_GB2312"/>
      <w:kern w:val="2"/>
      <w:sz w:val="18"/>
      <w:szCs w:val="18"/>
    </w:rPr>
  </w:style>
  <w:style w:type="character" w:customStyle="1" w:styleId="17">
    <w:name w:val="页眉 字符"/>
    <w:link w:val="8"/>
    <w:qFormat/>
    <w:uiPriority w:val="99"/>
    <w:rPr>
      <w:rFonts w:ascii="Times New Roman" w:hAnsi="Times New Roman" w:eastAsia="仿宋_GB2312"/>
      <w:kern w:val="2"/>
      <w:sz w:val="18"/>
      <w:szCs w:val="18"/>
    </w:rPr>
  </w:style>
  <w:style w:type="paragraph" w:customStyle="1" w:styleId="18">
    <w:name w:val="正文文本1"/>
    <w:basedOn w:val="1"/>
    <w:qFormat/>
    <w:uiPriority w:val="0"/>
    <w:pPr>
      <w:spacing w:after="60" w:line="360" w:lineRule="auto"/>
      <w:ind w:firstLine="400"/>
      <w:jc w:val="left"/>
    </w:pPr>
    <w:rPr>
      <w:rFonts w:ascii="宋体" w:hAnsi="宋体" w:eastAsia="宋体" w:cs="宋体"/>
      <w:sz w:val="3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3607</Words>
  <Characters>3788</Characters>
  <Lines>27</Lines>
  <Paragraphs>7</Paragraphs>
  <TotalTime>33</TotalTime>
  <ScaleCrop>false</ScaleCrop>
  <LinksUpToDate>false</LinksUpToDate>
  <CharactersWithSpaces>3814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2017-12-01T09:59:00Z</dcterms:created>
  <dc:creator>YHu.ang</dc:creator>
  <cp:lastModifiedBy>吴瑜</cp:lastModifiedBy>
  <cp:lastPrinted>2024-04-12T07:15:43Z</cp:lastPrinted>
  <dcterms:modified xsi:type="dcterms:W3CDTF">2024-04-12T07:18:29Z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C0CE4623376F44B5AF0AD4D7F521E760_13</vt:lpwstr>
  </property>
</Properties>
</file>