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</w:pPr>
    </w:p>
    <w:p>
      <w:pPr>
        <w:pStyle w:val="8"/>
        <w:keepNext w:val="0"/>
        <w:keepLines w:val="0"/>
        <w:framePr w:w="8565" w:h="365" w:hRule="exact" w:wrap="around" w:vAnchor="page" w:hAnchor="page" w:x="1505" w:y="95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color w:val="auto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auto"/>
        </w:rPr>
        <w:t>自然资发〔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auto"/>
          <w:sz w:val="30"/>
          <w:szCs w:val="30"/>
        </w:rPr>
        <w:t>2022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auto"/>
        </w:rPr>
        <w:t>〕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auto"/>
          <w:sz w:val="30"/>
          <w:szCs w:val="30"/>
        </w:rPr>
        <w:t>191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auto"/>
        </w:rPr>
        <w:t>号</w:t>
      </w:r>
    </w:p>
    <w:p>
      <w:pPr>
        <w:pStyle w:val="10"/>
        <w:keepNext w:val="0"/>
        <w:keepLines w:val="0"/>
        <w:pageBreakBefore w:val="0"/>
        <w:framePr w:w="8565" w:h="3979" w:hRule="exact" w:wrap="around" w:vAnchor="page" w:hAnchor="page" w:x="1505" w:y="10889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auto"/>
          <w:sz w:val="44"/>
          <w:szCs w:val="44"/>
        </w:rPr>
        <w:t>自然资源部国家林草局国家发展改革委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auto"/>
          <w:sz w:val="44"/>
          <w:szCs w:val="44"/>
        </w:rPr>
        <w:br w:type="textWrapping"/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auto"/>
          <w:sz w:val="44"/>
          <w:szCs w:val="44"/>
        </w:rPr>
        <w:t>财政部农业农村部关于进一步完善政策措施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auto"/>
          <w:sz w:val="44"/>
          <w:szCs w:val="44"/>
        </w:rPr>
        <w:br w:type="textWrapping"/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auto"/>
          <w:sz w:val="44"/>
          <w:szCs w:val="44"/>
        </w:rPr>
        <w:t>巩固退耕还林还草成果的通知</w:t>
      </w:r>
    </w:p>
    <w:p>
      <w:pPr>
        <w:pStyle w:val="8"/>
        <w:keepNext w:val="0"/>
        <w:keepLines w:val="0"/>
        <w:framePr w:w="8565" w:h="3979" w:hRule="exact" w:wrap="around" w:vAnchor="page" w:hAnchor="page" w:x="1505" w:y="10889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</w:rPr>
        <w:t>各省、自治区、直辖市人民政府，新疆生产建设兵团：</w:t>
      </w:r>
    </w:p>
    <w:p>
      <w:pPr>
        <w:pStyle w:val="8"/>
        <w:keepNext w:val="0"/>
        <w:keepLines w:val="0"/>
        <w:framePr w:w="8565" w:h="3979" w:hRule="exact" w:wrap="around" w:vAnchor="page" w:hAnchor="page" w:x="1505" w:y="10889"/>
        <w:widowControl w:val="0"/>
        <w:shd w:val="clear" w:color="auto" w:fill="auto"/>
        <w:bidi w:val="0"/>
        <w:spacing w:before="0" w:after="140" w:line="240" w:lineRule="auto"/>
        <w:ind w:left="0" w:right="0" w:firstLine="6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</w:rPr>
        <w:t>党中央、国务院高度重视退耕还林还草工作。1999年以来,</w:t>
      </w:r>
    </w:p>
    <w:p>
      <w:pPr>
        <w:pStyle w:val="12"/>
        <w:keepNext w:val="0"/>
        <w:keepLines w:val="0"/>
        <w:framePr w:w="8565" w:h="3979" w:hRule="exact" w:wrap="around" w:vAnchor="page" w:hAnchor="page" w:x="1505" w:y="10889"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</w:rPr>
        <w:t>—1 一</w:t>
      </w: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  <w:bookmarkStart w:id="0" w:name="_GoBack"/>
      <w:bookmarkEnd w:id="0"/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framePr w:w="8649" w:h="13021" w:hRule="exact" w:wrap="around" w:vAnchor="page" w:hAnchor="page" w:x="1491" w:y="1759"/>
        <w:widowControl w:val="0"/>
        <w:shd w:val="clear" w:color="auto" w:fill="auto"/>
        <w:bidi w:val="0"/>
        <w:spacing w:before="0" w:after="0" w:line="50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我国先后实施两轮退耕还林还草，工程综合效益显著，有力促进 了生态改善和农牧民增收，对推进生态文明建设、促进区域经济 社会发展等发挥了重要作用。为进一步完善政策措施，巩固退耕 还林还草成果，经国务院同意，现就有关事项通知如下：</w:t>
      </w:r>
    </w:p>
    <w:p>
      <w:pPr>
        <w:pStyle w:val="8"/>
        <w:keepNext w:val="0"/>
        <w:keepLines w:val="0"/>
        <w:framePr w:w="8649" w:h="13021" w:hRule="exact" w:wrap="around" w:vAnchor="page" w:hAnchor="page" w:x="1491" w:y="1759"/>
        <w:widowControl w:val="0"/>
        <w:shd w:val="clear" w:color="auto" w:fill="auto"/>
        <w:bidi w:val="0"/>
        <w:spacing w:before="0" w:after="0" w:line="504" w:lineRule="exact"/>
        <w:ind w:left="0" w:right="0" w:firstLine="6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一、认清当前形势。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 xml:space="preserve">退耕还林还草工程实施20多年来，各 地区各有关部门认真贯彻落实党中央、国务院决策部署，累计安 排退耕还林还草2. 13亿亩，惠及1.58亿农牧民，取得显著成 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效，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同时也面临可退耕空间不足、成果巩固难度较大等问题。根 据当前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  <w:lang w:val="zh-CN" w:eastAsia="zh-CN" w:bidi="zh-CN"/>
        </w:rPr>
        <w:t>形势.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为统筹耕地保护和生态安全，暂缓安排新增退耕还 林还草任务，将工作重心转到巩固已有建设成果上来。各地要切 实提高政治站位，扎实做好退耕还林还草任务落实和成果巩固工 作。</w:t>
      </w:r>
    </w:p>
    <w:p>
      <w:pPr>
        <w:pStyle w:val="8"/>
        <w:keepNext w:val="0"/>
        <w:keepLines w:val="0"/>
        <w:framePr w:w="8649" w:h="13021" w:hRule="exact" w:wrap="around" w:vAnchor="page" w:hAnchor="page" w:x="1491" w:y="1759"/>
        <w:widowControl w:val="0"/>
        <w:shd w:val="clear" w:color="auto" w:fill="auto"/>
        <w:bidi w:val="0"/>
        <w:spacing w:before="0" w:after="0" w:line="503" w:lineRule="exact"/>
        <w:ind w:left="0" w:leftChars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二、延长补助期限。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为巩固退耕还林还草成果，2014年开 始实施的第二轮退耕还林还草现金补助期满后，中央财政安排资 金，延长补助期限，继续给予适当补助。具体补助年限和标准 是：退耕还林现金补助期限延长5年，补助标准为每亩500元. 每年每亩100元；退耕还草现金补助期限延长3年，补助标准为 每亩300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元，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每年每亩100元。涉及农民集体所有土地的，现金 补助原则上发放给原土地承包权人，流转耕地实施退耕还林还草 的按合同约定发放。现金补助政策已经到期的，2022年一次性 补齐应发放补助。补助资金严格按照国家和省级林草部门确认的 县级验收结果发放，并与管护责任挂钩。</w:t>
      </w:r>
    </w:p>
    <w:p>
      <w:pPr>
        <w:pStyle w:val="8"/>
        <w:keepNext w:val="0"/>
        <w:keepLines w:val="0"/>
        <w:framePr w:w="8649" w:h="13021" w:hRule="exact" w:wrap="around" w:vAnchor="page" w:hAnchor="page" w:x="1491" w:y="1759"/>
        <w:widowControl w:val="0"/>
        <w:shd w:val="clear" w:color="auto" w:fill="auto"/>
        <w:bidi w:val="0"/>
        <w:spacing w:before="0" w:after="200" w:line="503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三、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实行精准管理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。各地要全面调查核实第二轮退耕还林还 草实施情况，已安排但尚未实施的退耕还林还草任务，要严格限 定在全国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  <w:lang w:val="zh-CN" w:eastAsia="zh-CN" w:bidi="zh-CN"/>
        </w:rPr>
        <w:t>“三区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三线”划定的耕地保护红线任务外实施，且符合</w:t>
      </w:r>
    </w:p>
    <w:p>
      <w:pPr>
        <w:pStyle w:val="14"/>
        <w:keepNext w:val="0"/>
        <w:keepLines w:val="0"/>
        <w:framePr w:w="8649" w:h="13021" w:hRule="exact" w:wrap="around" w:vAnchor="page" w:hAnchor="page" w:x="1491" w:y="1759"/>
        <w:widowControl w:val="0"/>
        <w:shd w:val="clear" w:color="auto" w:fill="auto"/>
        <w:tabs>
          <w:tab w:val="left" w:leader="underscore" w:pos="588"/>
          <w:tab w:val="left" w:leader="underscore" w:pos="1406"/>
        </w:tabs>
        <w:bidi w:val="0"/>
        <w:spacing w:before="0" w:after="0" w:line="240" w:lineRule="auto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ab/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 xml:space="preserve"> 0 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ab/>
      </w:r>
    </w:p>
    <w:p>
      <w:pPr>
        <w:pStyle w:val="16"/>
        <w:keepNext w:val="0"/>
        <w:keepLines w:val="0"/>
        <w:framePr w:w="8649" w:h="13021" w:hRule="exact" w:wrap="around" w:vAnchor="page" w:hAnchor="page" w:x="1491" w:y="1759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5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乙</w:t>
      </w: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framePr w:w="8863" w:h="13442" w:hRule="exact" w:wrap="around" w:vAnchor="page" w:hAnchor="page" w:x="1384" w:y="1537"/>
        <w:widowControl w:val="0"/>
        <w:shd w:val="clear" w:color="auto" w:fill="auto"/>
        <w:bidi w:val="0"/>
        <w:spacing w:before="0" w:after="0" w:line="520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国家允许退耕的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  <w:lang w:val="zh-CN" w:eastAsia="zh-CN" w:bidi="zh-CN"/>
        </w:rPr>
        <w:t>5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种情形（即25度以上坡耕地、陡坡梯田、重 要水源地15—25度坡耕地、严重沙化耕地、严重污染耕地）。加 快推进退耕还林还草地块上图入库，按照统一技术要求建立并完 善第二轮退耕还林还草矢量数据库，确保底数清、位置准、数据 实、信息全。加强部门协同，尽快将退耕还林还草地块矢量数据 补充标注到以第三次全国国土调查为基础的最新年度国土变更调 查成果底图，并纳入国土空间规划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  <w:lang w:val="zh-CN" w:eastAsia="zh-CN" w:bidi="zh-CN"/>
        </w:rPr>
        <w:t>“一张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图”,实行动态监管和 信息共享。对达到地类调查标准的，应及时变更地类，调整承包 经营合同，并依申请换发不动产权证书，确保退耕还林还草地块 权属清晰。</w:t>
      </w:r>
    </w:p>
    <w:p>
      <w:pPr>
        <w:pStyle w:val="8"/>
        <w:keepNext w:val="0"/>
        <w:keepLines w:val="0"/>
        <w:framePr w:w="8863" w:h="13442" w:hRule="exact" w:wrap="around" w:vAnchor="page" w:hAnchor="page" w:x="1384" w:y="1537"/>
        <w:widowControl w:val="0"/>
        <w:shd w:val="clear" w:color="auto" w:fill="auto"/>
        <w:bidi w:val="0"/>
        <w:spacing w:before="0" w:after="0" w:line="520" w:lineRule="exact"/>
        <w:ind w:left="0" w:right="0" w:firstLine="6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四、巩固已有成果。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各地要依法依规将退耕还林还草已有成 果统一纳入林草资源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  <w:lang w:val="zh-CN" w:eastAsia="zh-CN" w:bidi="zh-CN"/>
        </w:rPr>
        <w:t>管理.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严格管护，合理利用。将符合条件的 退耕还林还草地块按规定分别纳入森林生态效益补偿和草原生态 保护补助奖励范围。在详细调查摸底基础上，编制省级退耕还林 还草巩固成果提质增效实施方案，对确有必要的已退耕地块，开 展补植补造补播、森林抚育、灌木平茬、低质低效林改造、品种 改良和退化人工草地更新复壮等。在充分尊重群众意愿、兼顾生 态效益的基础上，根据退耕地资源禀赋强化科学经营，积极发展 绿色富民产业。</w:t>
      </w:r>
    </w:p>
    <w:p>
      <w:pPr>
        <w:pStyle w:val="8"/>
        <w:keepNext w:val="0"/>
        <w:keepLines w:val="0"/>
        <w:framePr w:w="8863" w:h="13442" w:hRule="exact" w:wrap="around" w:vAnchor="page" w:hAnchor="page" w:x="1384" w:y="1537"/>
        <w:widowControl w:val="0"/>
        <w:shd w:val="clear" w:color="auto" w:fill="auto"/>
        <w:bidi w:val="0"/>
        <w:spacing w:before="0" w:after="100" w:line="521" w:lineRule="exact"/>
        <w:ind w:left="0" w:right="0" w:firstLine="6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五、强化责任落实。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继续实行省级人民政府对本地区退耕还 林还草负总责，按照目标、任务、资金、责任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  <w:lang w:val="zh-CN" w:eastAsia="zh-CN" w:bidi="zh-CN"/>
        </w:rPr>
        <w:t>“四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到省”要求, 进一步加强组织领导，逐级落实市、县、乡目标和责任，细化措 施办法，强化成果巩固。加强资金监管，及时发放补助资金，严 格执行村级张榜公示制度，接受群众监督，坚决杜绝骗取套取、 虚报冒领和挤占挪用补助资金等问题的发生。各地要高度重视巡</w:t>
      </w:r>
    </w:p>
    <w:p>
      <w:pPr>
        <w:pStyle w:val="12"/>
        <w:keepNext w:val="0"/>
        <w:keepLines w:val="0"/>
        <w:framePr w:w="8863" w:h="13442" w:hRule="exact" w:wrap="around" w:vAnchor="page" w:hAnchor="page" w:x="1384" w:y="1537"/>
        <w:widowControl w:val="0"/>
        <w:shd w:val="clear" w:color="auto" w:fill="auto"/>
        <w:bidi w:val="0"/>
        <w:spacing w:before="0" w:after="0" w:line="240" w:lineRule="auto"/>
        <w:ind w:left="0" w:right="36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—3 —</w:t>
      </w: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framePr w:w="8612" w:h="2590" w:hRule="exact" w:wrap="around" w:vAnchor="page" w:hAnchor="page" w:x="1510" w:y="1712"/>
        <w:widowControl w:val="0"/>
        <w:shd w:val="clear" w:color="auto" w:fill="auto"/>
        <w:bidi w:val="0"/>
        <w:spacing w:before="0" w:after="0" w:line="514" w:lineRule="exact"/>
        <w:ind w:left="0" w:right="36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视督查、审计监督、检查验收等发现问题的整改，落实整改措 施，确保整改到位。各级发展改革、财政、自然资源、农业农 村、林草等部门要各司其职、密切配合，形成工作合力。国家林 草局要进一步加强指导和监管，将退耕还林还草工作纳入林长制督导考核范围。</w:t>
      </w:r>
    </w:p>
    <w:p>
      <w:pPr>
        <w:framePr w:wrap="around" w:vAnchor="page" w:hAnchor="page" w:x="1183" w:y="4933"/>
        <w:widowControl w:val="0"/>
        <w:rPr>
          <w:sz w:val="2"/>
          <w:szCs w:val="2"/>
        </w:rPr>
      </w:pPr>
    </w:p>
    <w:p>
      <w:pPr>
        <w:framePr w:wrap="around" w:vAnchor="page" w:hAnchor="page" w:x="2454" w:y="8692"/>
        <w:widowControl w:val="0"/>
        <w:rPr>
          <w:sz w:val="2"/>
          <w:szCs w:val="2"/>
        </w:rPr>
      </w:pPr>
    </w:p>
    <w:p>
      <w:pPr>
        <w:pStyle w:val="12"/>
        <w:keepNext w:val="0"/>
        <w:keepLines w:val="0"/>
        <w:framePr w:wrap="around" w:vAnchor="page" w:hAnchor="page" w:x="7036" w:y="137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2022年10月31日印发</w:t>
      </w:r>
    </w:p>
    <w:p>
      <w:pPr>
        <w:framePr w:wrap="around" w:vAnchor="page" w:hAnchor="page" w:x="7036" w:y="14448"/>
        <w:widowContro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1" w:lineRule="exact"/>
      </w:pPr>
    </w:p>
    <w:p>
      <w:pPr>
        <w:bidi w:val="0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9948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9948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9948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>
      <w:pPr>
        <w:pStyle w:val="2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自然资源部      国家林草局    国家发展改革委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财政部             农业农村部</w:t>
      </w:r>
    </w:p>
    <w:p>
      <w:pPr>
        <w:pStyle w:val="2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2022年10月28日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公开方式：主动公开</w:t>
      </w:r>
    </w:p>
    <w:sectPr>
      <w:footnotePr>
        <w:numFmt w:val="decimal"/>
      </w:footnotePr>
      <w:pgSz w:w="11900" w:h="16840"/>
      <w:pgMar w:top="360" w:right="360" w:bottom="360" w:left="36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E054F6F"/>
    <w:rsid w:val="52E20207"/>
    <w:rsid w:val="59FF79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character" w:customStyle="1" w:styleId="5">
    <w:name w:val="Body text|3_"/>
    <w:basedOn w:val="4"/>
    <w:link w:val="6"/>
    <w:uiPriority w:val="0"/>
    <w:rPr>
      <w:rFonts w:ascii="MingLiU" w:hAnsi="MingLiU" w:eastAsia="MingLiU" w:cs="MingLiU"/>
      <w:color w:val="F56979"/>
      <w:sz w:val="80"/>
      <w:szCs w:val="80"/>
      <w:u w:val="none"/>
      <w:lang w:val="zh-TW" w:eastAsia="zh-TW" w:bidi="zh-TW"/>
    </w:rPr>
  </w:style>
  <w:style w:type="paragraph" w:customStyle="1" w:styleId="6">
    <w:name w:val="Body text|3"/>
    <w:basedOn w:val="1"/>
    <w:link w:val="5"/>
    <w:uiPriority w:val="0"/>
    <w:pPr>
      <w:widowControl w:val="0"/>
      <w:shd w:val="clear" w:color="auto" w:fill="auto"/>
      <w:spacing w:line="1197" w:lineRule="exact"/>
    </w:pPr>
    <w:rPr>
      <w:rFonts w:ascii="MingLiU" w:hAnsi="MingLiU" w:eastAsia="MingLiU" w:cs="MingLiU"/>
      <w:color w:val="F56979"/>
      <w:sz w:val="80"/>
      <w:szCs w:val="80"/>
      <w:u w:val="none"/>
      <w:lang w:val="zh-TW" w:eastAsia="zh-TW" w:bidi="zh-TW"/>
    </w:rPr>
  </w:style>
  <w:style w:type="character" w:customStyle="1" w:styleId="7">
    <w:name w:val="Body text|1_"/>
    <w:basedOn w:val="4"/>
    <w:link w:val="8"/>
    <w:uiPriority w:val="0"/>
    <w:rPr>
      <w:rFonts w:ascii="MingLiU" w:hAnsi="MingLiU" w:eastAsia="MingLiU" w:cs="MingLiU"/>
      <w:sz w:val="28"/>
      <w:szCs w:val="28"/>
      <w:u w:val="none"/>
      <w:lang w:val="zh-TW" w:eastAsia="zh-TW" w:bidi="zh-TW"/>
    </w:rPr>
  </w:style>
  <w:style w:type="paragraph" w:customStyle="1" w:styleId="8">
    <w:name w:val="Body text|1"/>
    <w:basedOn w:val="1"/>
    <w:link w:val="7"/>
    <w:uiPriority w:val="0"/>
    <w:pPr>
      <w:widowControl w:val="0"/>
      <w:shd w:val="clear" w:color="auto" w:fill="auto"/>
      <w:spacing w:line="360" w:lineRule="auto"/>
      <w:ind w:firstLine="380"/>
    </w:pPr>
    <w:rPr>
      <w:rFonts w:ascii="MingLiU" w:hAnsi="MingLiU" w:eastAsia="MingLiU" w:cs="MingLiU"/>
      <w:sz w:val="28"/>
      <w:szCs w:val="28"/>
      <w:u w:val="none"/>
      <w:lang w:val="zh-TW" w:eastAsia="zh-TW" w:bidi="zh-TW"/>
    </w:rPr>
  </w:style>
  <w:style w:type="character" w:customStyle="1" w:styleId="9">
    <w:name w:val="Body text|2_"/>
    <w:basedOn w:val="4"/>
    <w:link w:val="10"/>
    <w:uiPriority w:val="0"/>
    <w:rPr>
      <w:rFonts w:ascii="MingLiU" w:hAnsi="MingLiU" w:eastAsia="MingLiU" w:cs="MingLiU"/>
      <w:color w:val="656768"/>
      <w:sz w:val="40"/>
      <w:szCs w:val="40"/>
      <w:u w:val="none"/>
      <w:lang w:val="zh-TW" w:eastAsia="zh-TW" w:bidi="zh-TW"/>
    </w:rPr>
  </w:style>
  <w:style w:type="paragraph" w:customStyle="1" w:styleId="10">
    <w:name w:val="Body text|2"/>
    <w:basedOn w:val="1"/>
    <w:link w:val="9"/>
    <w:uiPriority w:val="0"/>
    <w:pPr>
      <w:widowControl w:val="0"/>
      <w:shd w:val="clear" w:color="auto" w:fill="auto"/>
      <w:spacing w:after="460" w:line="715" w:lineRule="exact"/>
      <w:jc w:val="center"/>
    </w:pPr>
    <w:rPr>
      <w:rFonts w:ascii="MingLiU" w:hAnsi="MingLiU" w:eastAsia="MingLiU" w:cs="MingLiU"/>
      <w:color w:val="656768"/>
      <w:sz w:val="40"/>
      <w:szCs w:val="40"/>
      <w:u w:val="none"/>
      <w:lang w:val="zh-TW" w:eastAsia="zh-TW" w:bidi="zh-TW"/>
    </w:rPr>
  </w:style>
  <w:style w:type="character" w:customStyle="1" w:styleId="11">
    <w:name w:val="Body text|5_"/>
    <w:basedOn w:val="4"/>
    <w:link w:val="12"/>
    <w:uiPriority w:val="0"/>
    <w:rPr>
      <w:sz w:val="30"/>
      <w:szCs w:val="30"/>
      <w:u w:val="none"/>
      <w:lang w:val="zh-TW" w:eastAsia="zh-TW" w:bidi="zh-TW"/>
    </w:rPr>
  </w:style>
  <w:style w:type="paragraph" w:customStyle="1" w:styleId="12">
    <w:name w:val="Body text|5"/>
    <w:basedOn w:val="1"/>
    <w:link w:val="11"/>
    <w:uiPriority w:val="0"/>
    <w:pPr>
      <w:widowControl w:val="0"/>
      <w:shd w:val="clear" w:color="auto" w:fill="auto"/>
      <w:spacing w:after="150"/>
      <w:ind w:right="320"/>
      <w:jc w:val="right"/>
    </w:pPr>
    <w:rPr>
      <w:sz w:val="30"/>
      <w:szCs w:val="30"/>
      <w:u w:val="none"/>
      <w:lang w:val="zh-TW" w:eastAsia="zh-TW" w:bidi="zh-TW"/>
    </w:rPr>
  </w:style>
  <w:style w:type="character" w:customStyle="1" w:styleId="13">
    <w:name w:val="Body text|6_"/>
    <w:basedOn w:val="4"/>
    <w:link w:val="14"/>
    <w:uiPriority w:val="0"/>
    <w:rPr>
      <w:rFonts w:ascii="Arial" w:hAnsi="Arial" w:eastAsia="Arial" w:cs="Arial"/>
      <w:sz w:val="11"/>
      <w:szCs w:val="11"/>
      <w:u w:val="none"/>
      <w:lang w:val="zh-TW" w:eastAsia="zh-TW" w:bidi="zh-TW"/>
    </w:rPr>
  </w:style>
  <w:style w:type="paragraph" w:customStyle="1" w:styleId="14">
    <w:name w:val="Body text|6"/>
    <w:basedOn w:val="1"/>
    <w:link w:val="13"/>
    <w:uiPriority w:val="0"/>
    <w:pPr>
      <w:widowControl w:val="0"/>
      <w:shd w:val="clear" w:color="auto" w:fill="auto"/>
      <w:ind w:firstLine="340"/>
    </w:pPr>
    <w:rPr>
      <w:rFonts w:ascii="Arial" w:hAnsi="Arial" w:eastAsia="Arial" w:cs="Arial"/>
      <w:sz w:val="11"/>
      <w:szCs w:val="11"/>
      <w:u w:val="none"/>
      <w:lang w:val="zh-TW" w:eastAsia="zh-TW" w:bidi="zh-TW"/>
    </w:rPr>
  </w:style>
  <w:style w:type="character" w:customStyle="1" w:styleId="15">
    <w:name w:val="Body text|7_"/>
    <w:basedOn w:val="4"/>
    <w:link w:val="16"/>
    <w:uiPriority w:val="0"/>
    <w:rPr>
      <w:rFonts w:ascii="MingLiU" w:hAnsi="MingLiU" w:eastAsia="MingLiU" w:cs="MingLiU"/>
      <w:sz w:val="11"/>
      <w:szCs w:val="11"/>
      <w:u w:val="none"/>
      <w:lang w:val="zh-TW" w:eastAsia="zh-TW" w:bidi="zh-TW"/>
    </w:rPr>
  </w:style>
  <w:style w:type="paragraph" w:customStyle="1" w:styleId="16">
    <w:name w:val="Body text|7"/>
    <w:basedOn w:val="1"/>
    <w:link w:val="15"/>
    <w:uiPriority w:val="0"/>
    <w:pPr>
      <w:widowControl w:val="0"/>
      <w:shd w:val="clear" w:color="auto" w:fill="auto"/>
      <w:ind w:firstLine="820"/>
    </w:pPr>
    <w:rPr>
      <w:rFonts w:ascii="MingLiU" w:hAnsi="MingLiU" w:eastAsia="MingLiU" w:cs="MingLiU"/>
      <w:sz w:val="11"/>
      <w:szCs w:val="11"/>
      <w:u w:val="none"/>
      <w:lang w:val="zh-TW" w:eastAsia="zh-TW" w:bidi="zh-TW"/>
    </w:rPr>
  </w:style>
  <w:style w:type="character" w:customStyle="1" w:styleId="17">
    <w:name w:val="Body text|4_"/>
    <w:basedOn w:val="4"/>
    <w:link w:val="18"/>
    <w:uiPriority w:val="0"/>
    <w:rPr>
      <w:rFonts w:ascii="MingLiU" w:hAnsi="MingLiU" w:eastAsia="MingLiU" w:cs="MingLiU"/>
      <w:u w:val="none"/>
      <w:lang w:val="zh-TW" w:eastAsia="zh-TW" w:bidi="zh-TW"/>
    </w:rPr>
  </w:style>
  <w:style w:type="paragraph" w:customStyle="1" w:styleId="18">
    <w:name w:val="Body text|4"/>
    <w:basedOn w:val="1"/>
    <w:link w:val="17"/>
    <w:uiPriority w:val="0"/>
    <w:pPr>
      <w:widowControl w:val="0"/>
      <w:shd w:val="clear" w:color="auto" w:fill="auto"/>
      <w:spacing w:after="320"/>
      <w:ind w:firstLine="280"/>
    </w:pPr>
    <w:rPr>
      <w:rFonts w:ascii="MingLiU" w:hAnsi="MingLiU" w:eastAsia="MingLiU" w:cs="MingLiU"/>
      <w:u w:val="non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Office_11.8.2.11542_F1E327BC-269C-435d-A152-05C5408002CA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2024-01-12T06:44:00Z</dcterms:created>
  <dc:creator>Administrator</dc:creator>
  <cp:lastModifiedBy>赵佳</cp:lastModifiedBy>
  <dcterms:modified xsi:type="dcterms:W3CDTF">2024-01-19T12:05:10Z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2126D44667684B1AA739B35CB7C99FA7</vt:lpwstr>
  </property>
</Properties>
</file>