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EFA8B">
      <w:pPr>
        <w:pStyle w:val="2"/>
        <w:spacing w:before="276" w:line="219" w:lineRule="auto"/>
        <w:ind w:left="261"/>
      </w:pPr>
      <w:r>
        <w:rPr>
          <w:b/>
          <w:bCs/>
          <w:color w:val="F20000"/>
          <w:spacing w:val="-27"/>
        </w:rPr>
        <w:t>贵</w:t>
      </w:r>
      <w:r>
        <w:rPr>
          <w:color w:val="F20000"/>
          <w:spacing w:val="-27"/>
        </w:rPr>
        <w:t xml:space="preserve"> </w:t>
      </w:r>
      <w:r>
        <w:rPr>
          <w:b/>
          <w:bCs/>
          <w:color w:val="F20000"/>
          <w:spacing w:val="-27"/>
        </w:rPr>
        <w:t>州</w:t>
      </w:r>
      <w:r>
        <w:rPr>
          <w:color w:val="F20000"/>
          <w:spacing w:val="-27"/>
        </w:rPr>
        <w:t xml:space="preserve"> </w:t>
      </w:r>
      <w:r>
        <w:rPr>
          <w:b/>
          <w:bCs/>
          <w:color w:val="F20000"/>
          <w:spacing w:val="-27"/>
        </w:rPr>
        <w:t>省</w:t>
      </w:r>
      <w:r>
        <w:rPr>
          <w:color w:val="F20000"/>
          <w:spacing w:val="-27"/>
        </w:rPr>
        <w:t xml:space="preserve"> </w:t>
      </w:r>
      <w:r>
        <w:rPr>
          <w:b/>
          <w:bCs/>
          <w:color w:val="F20000"/>
          <w:spacing w:val="-27"/>
        </w:rPr>
        <w:t>农</w:t>
      </w:r>
      <w:r>
        <w:rPr>
          <w:color w:val="F20000"/>
        </w:rPr>
        <w:t xml:space="preserve"> </w:t>
      </w:r>
      <w:r>
        <w:rPr>
          <w:b/>
          <w:bCs/>
          <w:color w:val="F20000"/>
          <w:spacing w:val="-27"/>
        </w:rPr>
        <w:t>业</w:t>
      </w:r>
      <w:r>
        <w:rPr>
          <w:color w:val="F20000"/>
        </w:rPr>
        <w:t xml:space="preserve"> </w:t>
      </w:r>
      <w:r>
        <w:rPr>
          <w:b/>
          <w:bCs/>
          <w:color w:val="F20000"/>
          <w:spacing w:val="-27"/>
        </w:rPr>
        <w:t>农</w:t>
      </w:r>
      <w:r>
        <w:rPr>
          <w:color w:val="F20000"/>
          <w:spacing w:val="3"/>
        </w:rPr>
        <w:t xml:space="preserve"> </w:t>
      </w:r>
      <w:r>
        <w:rPr>
          <w:b/>
          <w:bCs/>
          <w:color w:val="F20000"/>
          <w:spacing w:val="-27"/>
        </w:rPr>
        <w:t>村</w:t>
      </w:r>
      <w:r>
        <w:rPr>
          <w:color w:val="F20000"/>
          <w:spacing w:val="12"/>
        </w:rPr>
        <w:t xml:space="preserve"> </w:t>
      </w:r>
      <w:r>
        <w:rPr>
          <w:b/>
          <w:bCs/>
          <w:color w:val="F20000"/>
          <w:spacing w:val="-27"/>
        </w:rPr>
        <w:t>厅</w:t>
      </w:r>
    </w:p>
    <w:p w14:paraId="07558145">
      <w:pPr>
        <w:pStyle w:val="2"/>
        <w:spacing w:before="203" w:line="179" w:lineRule="auto"/>
        <w:ind w:left="280"/>
        <w:rPr>
          <w:sz w:val="73"/>
          <w:szCs w:val="73"/>
        </w:rPr>
      </w:pPr>
      <w:r>
        <w:rPr>
          <w:b/>
          <w:bCs/>
          <w:color w:val="F20000"/>
          <w:spacing w:val="-36"/>
          <w:sz w:val="73"/>
          <w:szCs w:val="73"/>
        </w:rPr>
        <w:t>贵</w:t>
      </w:r>
      <w:r>
        <w:rPr>
          <w:color w:val="F20000"/>
          <w:spacing w:val="25"/>
          <w:sz w:val="73"/>
          <w:szCs w:val="73"/>
        </w:rPr>
        <w:t xml:space="preserve">  </w:t>
      </w:r>
      <w:r>
        <w:rPr>
          <w:b/>
          <w:bCs/>
          <w:color w:val="F20000"/>
          <w:spacing w:val="-36"/>
          <w:sz w:val="73"/>
          <w:szCs w:val="73"/>
        </w:rPr>
        <w:t>州</w:t>
      </w:r>
      <w:r>
        <w:rPr>
          <w:color w:val="F20000"/>
          <w:spacing w:val="105"/>
          <w:sz w:val="73"/>
          <w:szCs w:val="73"/>
        </w:rPr>
        <w:t xml:space="preserve">  </w:t>
      </w:r>
      <w:r>
        <w:rPr>
          <w:b/>
          <w:bCs/>
          <w:color w:val="F20000"/>
          <w:spacing w:val="-36"/>
          <w:sz w:val="73"/>
          <w:szCs w:val="73"/>
        </w:rPr>
        <w:t>省</w:t>
      </w:r>
      <w:r>
        <w:rPr>
          <w:color w:val="F20000"/>
          <w:spacing w:val="111"/>
          <w:sz w:val="73"/>
          <w:szCs w:val="73"/>
        </w:rPr>
        <w:t xml:space="preserve">  </w:t>
      </w:r>
      <w:r>
        <w:rPr>
          <w:b/>
          <w:bCs/>
          <w:color w:val="F20000"/>
          <w:spacing w:val="-36"/>
          <w:sz w:val="73"/>
          <w:szCs w:val="73"/>
        </w:rPr>
        <w:t>财</w:t>
      </w:r>
      <w:r>
        <w:rPr>
          <w:color w:val="F20000"/>
          <w:spacing w:val="75"/>
          <w:sz w:val="73"/>
          <w:szCs w:val="73"/>
        </w:rPr>
        <w:t xml:space="preserve">  </w:t>
      </w:r>
      <w:r>
        <w:rPr>
          <w:b/>
          <w:bCs/>
          <w:color w:val="F20000"/>
          <w:spacing w:val="-36"/>
          <w:sz w:val="73"/>
          <w:szCs w:val="73"/>
        </w:rPr>
        <w:t>政</w:t>
      </w:r>
      <w:r>
        <w:rPr>
          <w:color w:val="F20000"/>
          <w:spacing w:val="93"/>
          <w:sz w:val="73"/>
          <w:szCs w:val="73"/>
        </w:rPr>
        <w:t xml:space="preserve">  </w:t>
      </w:r>
      <w:r>
        <w:rPr>
          <w:b/>
          <w:bCs/>
          <w:color w:val="F20000"/>
          <w:spacing w:val="-36"/>
          <w:sz w:val="73"/>
          <w:szCs w:val="73"/>
        </w:rPr>
        <w:t>厅</w:t>
      </w:r>
    </w:p>
    <w:p w14:paraId="63D2E777">
      <w:pPr>
        <w:pStyle w:val="2"/>
        <w:spacing w:before="3" w:line="214" w:lineRule="auto"/>
        <w:ind w:left="280"/>
        <w:rPr>
          <w:sz w:val="101"/>
          <w:szCs w:val="101"/>
        </w:rPr>
      </w:pPr>
      <w:r>
        <w:rPr>
          <w:b/>
          <w:bCs/>
          <w:color w:val="F20000"/>
          <w:spacing w:val="-156"/>
          <w:sz w:val="101"/>
          <w:szCs w:val="101"/>
        </w:rPr>
        <w:t>贵</w:t>
      </w:r>
      <w:r>
        <w:rPr>
          <w:color w:val="F20000"/>
          <w:spacing w:val="-156"/>
          <w:sz w:val="101"/>
          <w:szCs w:val="101"/>
        </w:rPr>
        <w:t xml:space="preserve">  </w:t>
      </w:r>
      <w:r>
        <w:rPr>
          <w:b/>
          <w:bCs/>
          <w:color w:val="F20000"/>
          <w:spacing w:val="-156"/>
          <w:sz w:val="101"/>
          <w:szCs w:val="101"/>
        </w:rPr>
        <w:t>州</w:t>
      </w:r>
      <w:r>
        <w:rPr>
          <w:color w:val="F20000"/>
          <w:spacing w:val="259"/>
          <w:sz w:val="101"/>
          <w:szCs w:val="101"/>
        </w:rPr>
        <w:t xml:space="preserve"> </w:t>
      </w:r>
      <w:r>
        <w:rPr>
          <w:b/>
          <w:bCs/>
          <w:color w:val="F20000"/>
          <w:spacing w:val="-156"/>
          <w:sz w:val="101"/>
          <w:szCs w:val="101"/>
        </w:rPr>
        <w:t>省</w:t>
      </w:r>
      <w:r>
        <w:rPr>
          <w:color w:val="F20000"/>
          <w:spacing w:val="-156"/>
          <w:sz w:val="101"/>
          <w:szCs w:val="101"/>
        </w:rPr>
        <w:t xml:space="preserve">  </w:t>
      </w:r>
      <w:r>
        <w:rPr>
          <w:b/>
          <w:bCs/>
          <w:color w:val="F20000"/>
          <w:spacing w:val="-156"/>
          <w:sz w:val="101"/>
          <w:szCs w:val="101"/>
        </w:rPr>
        <w:t>林</w:t>
      </w:r>
      <w:r>
        <w:rPr>
          <w:color w:val="F20000"/>
          <w:spacing w:val="459"/>
          <w:sz w:val="101"/>
          <w:szCs w:val="101"/>
        </w:rPr>
        <w:t xml:space="preserve"> </w:t>
      </w:r>
      <w:r>
        <w:rPr>
          <w:b/>
          <w:bCs/>
          <w:color w:val="F20000"/>
          <w:spacing w:val="-156"/>
          <w:sz w:val="101"/>
          <w:szCs w:val="101"/>
        </w:rPr>
        <w:t>业</w:t>
      </w:r>
      <w:r>
        <w:rPr>
          <w:color w:val="F20000"/>
          <w:spacing w:val="-156"/>
          <w:sz w:val="101"/>
          <w:szCs w:val="101"/>
        </w:rPr>
        <w:t xml:space="preserve">  </w:t>
      </w:r>
      <w:r>
        <w:rPr>
          <w:b/>
          <w:bCs/>
          <w:color w:val="F20000"/>
          <w:spacing w:val="-156"/>
          <w:sz w:val="101"/>
          <w:szCs w:val="101"/>
        </w:rPr>
        <w:t>局</w:t>
      </w:r>
    </w:p>
    <w:p w14:paraId="04C1AF1C">
      <w:pPr>
        <w:spacing w:before="90" w:line="61" w:lineRule="exact"/>
      </w:pPr>
      <w:r>
        <w:rPr>
          <w:position w:val="-1"/>
        </w:rPr>
        <w:drawing>
          <wp:inline distT="0" distB="0" distL="0" distR="0">
            <wp:extent cx="595566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6259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AA72">
      <w:pPr>
        <w:spacing w:line="245" w:lineRule="auto"/>
        <w:rPr>
          <w:rFonts w:ascii="Arial"/>
          <w:sz w:val="21"/>
        </w:rPr>
      </w:pPr>
    </w:p>
    <w:p w14:paraId="1CFB27F4">
      <w:pPr>
        <w:pStyle w:val="2"/>
        <w:spacing w:before="153" w:line="219" w:lineRule="auto"/>
        <w:ind w:left="276"/>
        <w:rPr>
          <w:sz w:val="47"/>
          <w:szCs w:val="47"/>
        </w:rPr>
      </w:pPr>
      <w:r>
        <w:rPr>
          <w:b/>
          <w:bCs/>
          <w:spacing w:val="-12"/>
          <w:sz w:val="47"/>
          <w:szCs w:val="47"/>
        </w:rPr>
        <w:t>省农业农村厅省财政厅省林业局关于进一步</w:t>
      </w:r>
    </w:p>
    <w:p w14:paraId="2E739BD3">
      <w:pPr>
        <w:pStyle w:val="2"/>
        <w:spacing w:before="72" w:line="219" w:lineRule="auto"/>
        <w:ind w:left="2506"/>
        <w:rPr>
          <w:sz w:val="47"/>
          <w:szCs w:val="47"/>
        </w:rPr>
      </w:pPr>
      <w:r>
        <w:rPr>
          <w:b/>
          <w:bCs/>
          <w:spacing w:val="-33"/>
          <w:sz w:val="47"/>
          <w:szCs w:val="47"/>
        </w:rPr>
        <w:t>规范耕地地力保护补贴</w:t>
      </w:r>
    </w:p>
    <w:p w14:paraId="49AAC589">
      <w:pPr>
        <w:pStyle w:val="2"/>
        <w:spacing w:before="77" w:line="220" w:lineRule="auto"/>
        <w:ind w:left="3156"/>
        <w:rPr>
          <w:sz w:val="47"/>
          <w:szCs w:val="47"/>
        </w:rPr>
      </w:pPr>
      <w:r>
        <w:rPr>
          <w:b/>
          <w:bCs/>
          <w:spacing w:val="-30"/>
          <w:sz w:val="47"/>
          <w:szCs w:val="47"/>
        </w:rPr>
        <w:t>发放工作的通知</w:t>
      </w:r>
    </w:p>
    <w:p w14:paraId="7161177A">
      <w:pPr>
        <w:spacing w:line="340" w:lineRule="auto"/>
        <w:rPr>
          <w:rFonts w:ascii="Arial"/>
          <w:sz w:val="21"/>
        </w:rPr>
      </w:pPr>
    </w:p>
    <w:p w14:paraId="70C3A139">
      <w:pPr>
        <w:spacing w:line="340" w:lineRule="auto"/>
        <w:rPr>
          <w:rFonts w:ascii="Arial"/>
          <w:sz w:val="21"/>
        </w:rPr>
      </w:pPr>
    </w:p>
    <w:p w14:paraId="01403186">
      <w:pPr>
        <w:pStyle w:val="2"/>
        <w:spacing w:before="101" w:line="327" w:lineRule="auto"/>
        <w:ind w:left="270" w:right="192"/>
        <w:rPr>
          <w:rFonts w:ascii="仿宋" w:hAnsi="仿宋" w:eastAsia="仿宋" w:cs="仿宋"/>
          <w:sz w:val="31"/>
          <w:szCs w:val="31"/>
        </w:rPr>
      </w:pPr>
      <w:r>
        <w:rPr>
          <w:spacing w:val="19"/>
          <w:sz w:val="31"/>
          <w:szCs w:val="31"/>
        </w:rPr>
        <w:t>各市(州)农业农村局、财政局、林业局，各县(市、</w:t>
      </w:r>
      <w:r>
        <w:rPr>
          <w:spacing w:val="18"/>
          <w:sz w:val="31"/>
          <w:szCs w:val="31"/>
        </w:rPr>
        <w:t>区、特区)</w:t>
      </w:r>
      <w:r>
        <w:rPr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农业农村局、财政局、林业局：</w:t>
      </w:r>
    </w:p>
    <w:p w14:paraId="3FCA1ED6">
      <w:pPr>
        <w:spacing w:before="24" w:line="331" w:lineRule="auto"/>
        <w:ind w:left="270" w:right="17" w:firstLine="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实施耕地地力保护补贴是以保障国家粮食安全为目标，推  </w:t>
      </w:r>
      <w:r>
        <w:rPr>
          <w:rFonts w:ascii="仿宋" w:hAnsi="仿宋" w:eastAsia="仿宋" w:cs="仿宋"/>
          <w:spacing w:val="2"/>
          <w:sz w:val="31"/>
          <w:szCs w:val="31"/>
        </w:rPr>
        <w:t>动“藏粮于地”战略部署，有效保护耕地，遏制耕地“非农化”,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筑牢粮食安全根基的重要举措。从2020年起，我省的耕地地力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保护补贴发放依据调整为承包地确权登记颁证面积，使广大拥有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耕地承包权的种地农户享受到了党的惠农政策，同时，在</w:t>
      </w:r>
      <w:r>
        <w:rPr>
          <w:rFonts w:ascii="仿宋" w:hAnsi="仿宋" w:eastAsia="仿宋" w:cs="仿宋"/>
          <w:spacing w:val="4"/>
          <w:sz w:val="31"/>
          <w:szCs w:val="31"/>
        </w:rPr>
        <w:t>国家审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计署的审计和检查中发现，我省还存在2016-2019</w:t>
      </w:r>
      <w:r>
        <w:rPr>
          <w:rFonts w:ascii="仿宋" w:hAnsi="仿宋" w:eastAsia="仿宋" w:cs="仿宋"/>
          <w:spacing w:val="8"/>
          <w:sz w:val="31"/>
          <w:szCs w:val="31"/>
        </w:rPr>
        <w:t>年期间向退耕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还林农户发放耕地地力保护补贴的问题，不符合农业“三项补贴”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改革以来的有关政策要求，不利于农民自觉保护、提升耕地地力， </w:t>
      </w:r>
      <w:r>
        <w:rPr>
          <w:rFonts w:ascii="仿宋" w:hAnsi="仿宋" w:eastAsia="仿宋" w:cs="仿宋"/>
          <w:spacing w:val="4"/>
          <w:sz w:val="31"/>
          <w:szCs w:val="31"/>
        </w:rPr>
        <w:t>不利于提高农民种粮积极性。为确保耕地地力保护补贴的精准放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 xml:space="preserve">发，使补贴资金真正用于耕地地力的保护和提升，促进粮食生产， </w:t>
      </w:r>
      <w:r>
        <w:rPr>
          <w:rFonts w:ascii="仿宋" w:hAnsi="仿宋" w:eastAsia="仿宋" w:cs="仿宋"/>
          <w:spacing w:val="5"/>
          <w:sz w:val="31"/>
          <w:szCs w:val="31"/>
        </w:rPr>
        <w:t>现就严格核实农户承包地内退耕还林面积，规范耕</w:t>
      </w:r>
      <w:r>
        <w:rPr>
          <w:rFonts w:ascii="仿宋" w:hAnsi="仿宋" w:eastAsia="仿宋" w:cs="仿宋"/>
          <w:spacing w:val="4"/>
          <w:sz w:val="31"/>
          <w:szCs w:val="31"/>
        </w:rPr>
        <w:t>地地力保护补</w:t>
      </w:r>
    </w:p>
    <w:p w14:paraId="00532CC3">
      <w:pPr>
        <w:spacing w:before="234" w:line="60" w:lineRule="exact"/>
        <w:ind w:firstLine="29"/>
      </w:pPr>
      <w:r>
        <w:rPr>
          <w:position w:val="-1"/>
        </w:rPr>
        <w:drawing>
          <wp:inline distT="0" distB="0" distL="0" distR="0">
            <wp:extent cx="5936615" cy="38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7216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39881">
      <w:pPr>
        <w:spacing w:line="60" w:lineRule="exact"/>
        <w:sectPr>
          <w:footerReference r:id="rId5" w:type="default"/>
          <w:pgSz w:w="11900" w:h="16820"/>
          <w:pgMar w:top="1429" w:right="1090" w:bottom="1111" w:left="1430" w:header="0" w:footer="812" w:gutter="0"/>
          <w:cols w:space="720" w:num="1"/>
        </w:sectPr>
      </w:pPr>
    </w:p>
    <w:p w14:paraId="422835AE">
      <w:pPr>
        <w:spacing w:before="19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贴发放的有关事项通知如下。</w:t>
      </w:r>
    </w:p>
    <w:p w14:paraId="5C0A1FC5">
      <w:pPr>
        <w:spacing w:before="162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、严格核实农户承包地范围内的退耕还林面积</w:t>
      </w:r>
    </w:p>
    <w:p w14:paraId="4E9DE75F">
      <w:pPr>
        <w:spacing w:before="174" w:line="330" w:lineRule="auto"/>
        <w:ind w:right="50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(一)强化组织领导</w:t>
      </w:r>
      <w:r>
        <w:rPr>
          <w:rFonts w:ascii="仿宋" w:hAnsi="仿宋" w:eastAsia="仿宋" w:cs="仿宋"/>
          <w:spacing w:val="9"/>
          <w:sz w:val="31"/>
          <w:szCs w:val="31"/>
        </w:rPr>
        <w:t>。各县级农业农村、财政、</w:t>
      </w:r>
      <w:r>
        <w:rPr>
          <w:rFonts w:ascii="仿宋" w:hAnsi="仿宋" w:eastAsia="仿宋" w:cs="仿宋"/>
          <w:spacing w:val="8"/>
          <w:sz w:val="31"/>
          <w:szCs w:val="31"/>
        </w:rPr>
        <w:t>林业等部门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要在县级党委、政府的领导下成立工作小组，建立工作机制</w:t>
      </w:r>
      <w:r>
        <w:rPr>
          <w:rFonts w:ascii="仿宋" w:hAnsi="仿宋" w:eastAsia="仿宋" w:cs="仿宋"/>
          <w:spacing w:val="3"/>
          <w:sz w:val="31"/>
          <w:szCs w:val="31"/>
        </w:rPr>
        <w:t>，依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托乡(镇、街道)、村(组、社区)、驻村工作队的力量</w:t>
      </w:r>
      <w:r>
        <w:rPr>
          <w:rFonts w:ascii="仿宋" w:hAnsi="仿宋" w:eastAsia="仿宋" w:cs="仿宋"/>
          <w:spacing w:val="25"/>
          <w:sz w:val="31"/>
          <w:szCs w:val="31"/>
        </w:rPr>
        <w:t>，结合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实际制定具体核实农户承包地范围内退耕还林面</w:t>
      </w:r>
      <w:r>
        <w:rPr>
          <w:rFonts w:ascii="仿宋" w:hAnsi="仿宋" w:eastAsia="仿宋" w:cs="仿宋"/>
          <w:spacing w:val="4"/>
          <w:sz w:val="31"/>
          <w:szCs w:val="31"/>
        </w:rPr>
        <w:t>积的工作方案，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明确工作责任，细化工作步骤，层层抓落实，确保核实的退耕还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林面积准确，为核减耕地地力保护补贴中不予补贴的情形提</w:t>
      </w:r>
      <w:r>
        <w:rPr>
          <w:rFonts w:ascii="仿宋" w:hAnsi="仿宋" w:eastAsia="仿宋" w:cs="仿宋"/>
          <w:spacing w:val="3"/>
          <w:sz w:val="31"/>
          <w:szCs w:val="31"/>
        </w:rPr>
        <w:t>供依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据。</w:t>
      </w:r>
    </w:p>
    <w:p w14:paraId="7B837E2E">
      <w:pPr>
        <w:spacing w:before="59" w:line="311" w:lineRule="auto"/>
        <w:ind w:right="27" w:firstLine="81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(二)加强数据核实。</w:t>
      </w:r>
      <w:r>
        <w:rPr>
          <w:rFonts w:ascii="仿宋" w:hAnsi="仿宋" w:eastAsia="仿宋" w:cs="仿宋"/>
          <w:spacing w:val="22"/>
          <w:sz w:val="31"/>
          <w:szCs w:val="31"/>
        </w:rPr>
        <w:t>县级林业部门负责提</w:t>
      </w:r>
      <w:r>
        <w:rPr>
          <w:rFonts w:ascii="仿宋" w:hAnsi="仿宋" w:eastAsia="仿宋" w:cs="仿宋"/>
          <w:spacing w:val="21"/>
          <w:sz w:val="31"/>
          <w:szCs w:val="31"/>
        </w:rPr>
        <w:t>供2014年以来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的退耕还林矢量数据图斑，农业农村部门负责与承包地确权面积 矢量数据图斑进行叠加比对，将比对后承包地范围内的退</w:t>
      </w:r>
      <w:r>
        <w:rPr>
          <w:rFonts w:ascii="仿宋" w:hAnsi="仿宋" w:eastAsia="仿宋" w:cs="仿宋"/>
          <w:spacing w:val="3"/>
          <w:sz w:val="31"/>
          <w:szCs w:val="31"/>
        </w:rPr>
        <w:t>耕还林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面积逐级下发到乡(镇、街道)、村(组、社区)进行核实，由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农户签字确认承包地内的退耕还林面积。</w:t>
      </w:r>
    </w:p>
    <w:p w14:paraId="7F0F8754">
      <w:pPr>
        <w:spacing w:before="194" w:line="311" w:lineRule="auto"/>
        <w:ind w:right="34" w:firstLine="83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(三)严格发放程序</w:t>
      </w:r>
      <w:r>
        <w:rPr>
          <w:rFonts w:ascii="仿宋" w:hAnsi="仿宋" w:eastAsia="仿宋" w:cs="仿宋"/>
          <w:spacing w:val="21"/>
          <w:sz w:val="31"/>
          <w:szCs w:val="31"/>
        </w:rPr>
        <w:t>。村(组、社区)将最</w:t>
      </w:r>
      <w:r>
        <w:rPr>
          <w:rFonts w:ascii="仿宋" w:hAnsi="仿宋" w:eastAsia="仿宋" w:cs="仿宋"/>
          <w:spacing w:val="20"/>
          <w:sz w:val="31"/>
          <w:szCs w:val="31"/>
        </w:rPr>
        <w:t>终扣减了退耕还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林等不予补贴情形后的基础数据核实申报；乡(镇、街道)对数据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进行核实后、汇总报送县级农业农村部门；县级农业农村部门将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基础数据审核汇总后向县级财政部门提交发放清册，由县级财政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部门将耕地地力保护补贴通过惠农“一卡通”集中统发到户。</w:t>
      </w:r>
    </w:p>
    <w:p w14:paraId="1400059A">
      <w:pPr>
        <w:spacing w:before="197" w:line="222" w:lineRule="auto"/>
        <w:ind w:left="6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二、做好政策的宣传解释工作</w:t>
      </w:r>
    </w:p>
    <w:p w14:paraId="1EDD87EC">
      <w:pPr>
        <w:spacing w:before="191" w:line="331" w:lineRule="auto"/>
        <w:ind w:firstLine="7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对承包地范围内的退耕还林面积进行核减后发放耕地地力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保护补贴，将影响到部份农户的收入，各地要通过发放宣传册、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入户座谈、开坝坝会等形式，加强对耕地地力保护补贴、退耕还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林等相关政策的宣传和解释，县、乡、村应设置工作咨询平台和</w:t>
      </w:r>
    </w:p>
    <w:p w14:paraId="09C50910">
      <w:pPr>
        <w:spacing w:line="342" w:lineRule="auto"/>
        <w:rPr>
          <w:rFonts w:ascii="Arial"/>
          <w:sz w:val="21"/>
        </w:rPr>
      </w:pPr>
    </w:p>
    <w:p w14:paraId="4C48417D">
      <w:pPr>
        <w:spacing w:line="343" w:lineRule="auto"/>
        <w:rPr>
          <w:rFonts w:ascii="Arial"/>
          <w:sz w:val="21"/>
        </w:rPr>
      </w:pPr>
    </w:p>
    <w:p w14:paraId="62537B25">
      <w:pPr>
        <w:tabs>
          <w:tab w:val="left" w:pos="302"/>
        </w:tabs>
        <w:spacing w:before="55" w:line="188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u w:val="single" w:color="auto"/>
        </w:rPr>
        <w:tab/>
      </w:r>
      <w:r>
        <w:rPr>
          <w:rFonts w:ascii="Times New Roman" w:hAnsi="Times New Roman" w:eastAsia="Times New Roman" w:cs="Times New Roman"/>
          <w:spacing w:val="-2"/>
          <w:sz w:val="19"/>
          <w:szCs w:val="19"/>
          <w:u w:val="single" w:color="auto"/>
        </w:rPr>
        <w:t>2.</w:t>
      </w:r>
      <w:r>
        <w:rPr>
          <w:rFonts w:ascii="Times New Roman" w:hAnsi="Times New Roman" w:eastAsia="Times New Roman" w:cs="Times New Roman"/>
          <w:sz w:val="19"/>
          <w:szCs w:val="19"/>
          <w:u w:val="single" w:color="auto"/>
        </w:rPr>
        <w:t xml:space="preserve">       </w:t>
      </w:r>
    </w:p>
    <w:p w14:paraId="3987CB7F">
      <w:pPr>
        <w:spacing w:line="188" w:lineRule="auto"/>
        <w:rPr>
          <w:rFonts w:ascii="Times New Roman" w:hAnsi="Times New Roman" w:eastAsia="Times New Roman" w:cs="Times New Roman"/>
          <w:sz w:val="19"/>
          <w:szCs w:val="19"/>
        </w:rPr>
        <w:sectPr>
          <w:footerReference r:id="rId6" w:type="default"/>
          <w:pgSz w:w="11900" w:h="16820"/>
          <w:pgMar w:top="1429" w:right="1404" w:bottom="400" w:left="1629" w:header="0" w:footer="0" w:gutter="0"/>
          <w:cols w:space="720" w:num="1"/>
        </w:sectPr>
      </w:pPr>
    </w:p>
    <w:p w14:paraId="137FA800">
      <w:pPr>
        <w:spacing w:before="156" w:line="314" w:lineRule="auto"/>
        <w:ind w:left="29" w:right="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举报电话，接受广大农户的咨询，做好政策解释工作并</w:t>
      </w:r>
      <w:r>
        <w:rPr>
          <w:rFonts w:ascii="仿宋" w:hAnsi="仿宋" w:eastAsia="仿宋" w:cs="仿宋"/>
          <w:spacing w:val="2"/>
          <w:sz w:val="31"/>
          <w:szCs w:val="31"/>
        </w:rPr>
        <w:t>明确信访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问题责任人，及时调查处理群众信访问题。</w:t>
      </w:r>
    </w:p>
    <w:p w14:paraId="5036BAC7">
      <w:pPr>
        <w:spacing w:before="64" w:line="221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三、加大督促检查力度</w:t>
      </w:r>
    </w:p>
    <w:p w14:paraId="2E453577">
      <w:pPr>
        <w:spacing w:before="194" w:line="322" w:lineRule="auto"/>
        <w:ind w:left="29" w:right="34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各市(州)农业农村、财政、林业部门，要加</w:t>
      </w:r>
      <w:r>
        <w:rPr>
          <w:rFonts w:ascii="仿宋" w:hAnsi="仿宋" w:eastAsia="仿宋" w:cs="仿宋"/>
          <w:spacing w:val="14"/>
          <w:sz w:val="31"/>
          <w:szCs w:val="31"/>
        </w:rPr>
        <w:t>强对县级核减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退耕还林面积、耕地地力保护补贴规范发放的指导和检查，督促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工作进度。省级不定期对各地补贴发放的相关工作进行</w:t>
      </w:r>
      <w:r>
        <w:rPr>
          <w:rFonts w:ascii="仿宋" w:hAnsi="仿宋" w:eastAsia="仿宋" w:cs="仿宋"/>
          <w:spacing w:val="2"/>
          <w:sz w:val="31"/>
          <w:szCs w:val="31"/>
        </w:rPr>
        <w:t>抽查、暗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访，对核减面积不属实、补贴发放范围不规范的行</w:t>
      </w:r>
      <w:r>
        <w:rPr>
          <w:rFonts w:ascii="仿宋" w:hAnsi="仿宋" w:eastAsia="仿宋" w:cs="仿宋"/>
          <w:spacing w:val="4"/>
          <w:sz w:val="31"/>
          <w:szCs w:val="31"/>
        </w:rPr>
        <w:t>为进行通报，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并责令整改，对不认真履行职责、疏于管理，出现违纪违规行为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的单位和个人，依据相关规定严肃查处。</w:t>
      </w:r>
    </w:p>
    <w:p w14:paraId="5A585FAE">
      <w:pPr>
        <w:spacing w:before="102" w:line="222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四、有关要求</w:t>
      </w:r>
    </w:p>
    <w:p w14:paraId="0030D85D">
      <w:pPr>
        <w:spacing w:before="198" w:line="329" w:lineRule="auto"/>
        <w:ind w:left="29" w:right="7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耕地地力保护补贴发放的其他要求按《省财政厅省农业农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村厅关于2021年中央和省级财政农业生产发展(耕地地力保护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补贴)资金的通知》(黔财农〔2021)71号〕中的规定执行。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各县级根据当年补贴资金，结合以前年度结转资金，按照核减不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予补贴情形后的实际发放面积综合测算，确定亩均补贴</w:t>
      </w:r>
      <w:r>
        <w:rPr>
          <w:rFonts w:ascii="仿宋" w:hAnsi="仿宋" w:eastAsia="仿宋" w:cs="仿宋"/>
          <w:spacing w:val="2"/>
          <w:sz w:val="31"/>
          <w:szCs w:val="31"/>
        </w:rPr>
        <w:t>标准后进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行发放。在全省退耕还林完成确权颁证前，以后各年度发放</w:t>
      </w:r>
      <w:r>
        <w:rPr>
          <w:rFonts w:ascii="仿宋" w:hAnsi="仿宋" w:eastAsia="仿宋" w:cs="仿宋"/>
          <w:spacing w:val="2"/>
          <w:sz w:val="31"/>
          <w:szCs w:val="31"/>
        </w:rPr>
        <w:t>耕地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地力保护补贴核减退耕还林面积的相关要求，按本通知执行。</w:t>
      </w:r>
    </w:p>
    <w:p w14:paraId="539FF5AB">
      <w:pPr>
        <w:spacing w:line="248" w:lineRule="auto"/>
        <w:rPr>
          <w:rFonts w:ascii="Arial"/>
          <w:sz w:val="21"/>
        </w:rPr>
      </w:pPr>
    </w:p>
    <w:p w14:paraId="2F997688"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p w14:paraId="24739FE8">
      <w:pPr>
        <w:spacing w:line="249" w:lineRule="auto"/>
        <w:rPr>
          <w:rFonts w:ascii="Arial"/>
          <w:sz w:val="21"/>
        </w:rPr>
      </w:pPr>
    </w:p>
    <w:p w14:paraId="0D5B7C6C">
      <w:pPr>
        <w:spacing w:line="249" w:lineRule="auto"/>
        <w:rPr>
          <w:rFonts w:ascii="Arial"/>
          <w:sz w:val="21"/>
        </w:rPr>
      </w:pPr>
    </w:p>
    <w:p w14:paraId="5E070FBA">
      <w:pPr>
        <w:spacing w:line="249" w:lineRule="auto"/>
        <w:rPr>
          <w:rFonts w:ascii="Arial"/>
          <w:sz w:val="21"/>
        </w:rPr>
      </w:pPr>
    </w:p>
    <w:p w14:paraId="3D405B7D">
      <w:pPr>
        <w:spacing w:line="249" w:lineRule="auto"/>
        <w:rPr>
          <w:rFonts w:ascii="Arial"/>
          <w:sz w:val="21"/>
        </w:rPr>
      </w:pPr>
    </w:p>
    <w:p w14:paraId="1140F808">
      <w:pPr>
        <w:spacing w:line="249" w:lineRule="auto"/>
        <w:rPr>
          <w:rFonts w:ascii="Arial"/>
          <w:sz w:val="21"/>
        </w:rPr>
      </w:pPr>
    </w:p>
    <w:p w14:paraId="5D797712">
      <w:pPr>
        <w:spacing w:before="102" w:line="229" w:lineRule="auto"/>
        <w:ind w:left="3899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32.95pt;margin-top:4.5pt;height:20.65pt;width:96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1A6E3C">
                  <w:pPr>
                    <w:spacing w:before="19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省农业农村厅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11"/>
          <w:sz w:val="31"/>
          <w:szCs w:val="31"/>
        </w:rPr>
        <w:t>省财政厅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11"/>
          <w:sz w:val="31"/>
          <w:szCs w:val="31"/>
        </w:rPr>
        <w:t>省林业局</w:t>
      </w:r>
    </w:p>
    <w:p w14:paraId="346E3C0D">
      <w:pPr>
        <w:spacing w:before="236" w:line="222" w:lineRule="auto"/>
        <w:ind w:left="59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1"/>
          <w:sz w:val="31"/>
          <w:szCs w:val="31"/>
        </w:rPr>
        <w:t>2021年8月16日</w:t>
      </w:r>
    </w:p>
    <w:sectPr>
      <w:footerReference r:id="rId7" w:type="default"/>
      <w:pgSz w:w="11900" w:h="16820"/>
      <w:pgMar w:top="1429" w:right="1309" w:bottom="1032" w:left="1710" w:header="0" w:footer="8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F3861">
    <w:pPr>
      <w:pStyle w:val="2"/>
      <w:spacing w:line="177" w:lineRule="auto"/>
      <w:ind w:left="8389"/>
      <w:rPr>
        <w:sz w:val="30"/>
        <w:szCs w:val="30"/>
      </w:rPr>
    </w:pPr>
    <w:r>
      <w:rPr>
        <w:spacing w:val="-8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50D41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A39FB">
    <w:pPr>
      <w:pStyle w:val="2"/>
      <w:tabs>
        <w:tab w:val="left" w:pos="8270"/>
      </w:tabs>
      <w:spacing w:line="171" w:lineRule="auto"/>
      <w:ind w:left="8119"/>
      <w:rPr>
        <w:sz w:val="16"/>
        <w:szCs w:val="16"/>
      </w:rPr>
    </w:pPr>
    <w:r>
      <w:rPr>
        <w:sz w:val="16"/>
        <w:szCs w:val="16"/>
        <w:u w:val="single" w:color="auto"/>
      </w:rPr>
      <w:tab/>
    </w:r>
    <w:r>
      <w:rPr>
        <w:spacing w:val="-2"/>
        <w:sz w:val="16"/>
        <w:szCs w:val="16"/>
        <w:u w:val="single" w:color="auto"/>
      </w:rPr>
      <w:t>—3—</w:t>
    </w:r>
    <w:r>
      <w:rPr>
        <w:sz w:val="16"/>
        <w:szCs w:val="16"/>
        <w:u w:val="single" w:color="auto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502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9"/>
      <w:szCs w:val="7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1410</Words>
  <Characters>1438</Characters>
  <TotalTime>0</TotalTime>
  <ScaleCrop>false</ScaleCrop>
  <LinksUpToDate>false</LinksUpToDate>
  <CharactersWithSpaces>1527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2025-01-15T17:36:00Z</dcterms:created>
  <dc:creator>Kingsoft-PDF</dc:creator>
  <cp:lastModifiedBy>亚麻色阳阳</cp:lastModifiedBy>
  <dcterms:modified xsi:type="dcterms:W3CDTF">2025-01-15T09:37:36Z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2025-01-15T17:36:59Z</vt:filetime>
  </property>
  <property fmtid="{D5CDD505-2E9C-101B-9397-08002B2CF9AE}" pid="4" name="UsrData">
    <vt:lpwstr>678781b9182be6001f102e7bwl</vt:lpwstr>
  </property>
  <property fmtid="{D5CDD505-2E9C-101B-9397-08002B2CF9AE}" pid="5" name="KSOTemplateDocerSaveRecord">
    <vt:lpwstr>eyJoZGlkIjoiYzNjZDY0MjE3YzliNzE2MmM2YjQ5MDM4MTllNjNkNWYiLCJ1c2VySWQiOiIzOTY3MjYyOTcifQ==</vt:lpwstr>
  </property>
  <property fmtid="{D5CDD505-2E9C-101B-9397-08002B2CF9AE}" pid="6" name="KSOProductBuildVer">
    <vt:lpwstr>2052-12.1.0.19302</vt:lpwstr>
  </property>
  <property fmtid="{D5CDD505-2E9C-101B-9397-08002B2CF9AE}" pid="7" name="ICV">
    <vt:lpwstr>BDCDC67A27A74BCBA5C0F0C558559E79_12</vt:lpwstr>
  </property>
</Properties>
</file>