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keepNext w:val="0"/>
        <w:keepLines w:val="0"/>
        <w:pageBreakBefore w:val="0"/>
        <w:widowControl w:val="0"/>
        <w:kinsoku/>
        <w:wordWrap/>
        <w:overflowPunct/>
        <w:topLinePunct w:val="0"/>
        <w:autoSpaceDE w:val="0"/>
        <w:autoSpaceDN w:val="0"/>
        <w:bidi w:val="0"/>
        <w:adjustRightInd/>
        <w:snapToGrid/>
        <w:spacing w:before="174" w:line="640" w:lineRule="exact"/>
        <w:ind w:left="896" w:right="935" w:firstLine="0"/>
        <w:jc w:val="center"/>
        <w:textAlignment w:val="auto"/>
        <w:rPr>
          <w:rFonts w:hint="eastAsia" w:ascii="方正小标宋简体" w:eastAsia="方正小标宋简体"/>
          <w:color w:val="231F20"/>
          <w:sz w:val="41"/>
        </w:rPr>
      </w:pPr>
      <w:r>
        <w:rPr>
          <w:rFonts w:hint="eastAsia" w:ascii="方正小标宋简体" w:eastAsia="方正小标宋简体"/>
          <w:color w:val="231F20"/>
          <w:sz w:val="41"/>
          <w:lang w:val="en-US" w:eastAsia="zh-CN"/>
        </w:rPr>
        <w:t>国家人口计生委财务部</w:t>
      </w:r>
      <w:r>
        <w:rPr>
          <w:rFonts w:hint="eastAsia" w:ascii="方正小标宋简体" w:eastAsia="方正小标宋简体"/>
          <w:color w:val="231F20"/>
          <w:sz w:val="41"/>
        </w:rPr>
        <w:t>关于</w:t>
      </w:r>
    </w:p>
    <w:p>
      <w:pPr>
        <w:keepNext w:val="0"/>
        <w:keepLines w:val="0"/>
        <w:pageBreakBefore w:val="0"/>
        <w:widowControl w:val="0"/>
        <w:kinsoku/>
        <w:wordWrap/>
        <w:overflowPunct/>
        <w:topLinePunct w:val="0"/>
        <w:autoSpaceDE w:val="0"/>
        <w:autoSpaceDN w:val="0"/>
        <w:bidi w:val="0"/>
        <w:adjustRightInd/>
        <w:snapToGrid/>
        <w:spacing w:before="174" w:line="640" w:lineRule="exact"/>
        <w:ind w:left="896" w:right="935" w:firstLine="0"/>
        <w:jc w:val="center"/>
        <w:textAlignment w:val="auto"/>
        <w:rPr>
          <w:rFonts w:hint="eastAsia" w:ascii="方正小标宋简体" w:eastAsia="方正小标宋简体"/>
          <w:color w:val="231F20"/>
          <w:sz w:val="41"/>
        </w:rPr>
      </w:pPr>
      <w:r>
        <w:rPr>
          <w:rFonts w:hint="eastAsia" w:ascii="方正小标宋简体" w:eastAsia="方正小标宋简体"/>
          <w:color w:val="231F20"/>
          <w:sz w:val="41"/>
        </w:rPr>
        <w:t>将三级以上计划生育手术并发症人员</w:t>
      </w:r>
    </w:p>
    <w:p>
      <w:pPr>
        <w:keepNext w:val="0"/>
        <w:keepLines w:val="0"/>
        <w:pageBreakBefore w:val="0"/>
        <w:widowControl w:val="0"/>
        <w:kinsoku/>
        <w:wordWrap/>
        <w:overflowPunct/>
        <w:topLinePunct w:val="0"/>
        <w:autoSpaceDE w:val="0"/>
        <w:autoSpaceDN w:val="0"/>
        <w:bidi w:val="0"/>
        <w:adjustRightInd/>
        <w:snapToGrid/>
        <w:spacing w:before="174" w:line="640" w:lineRule="exact"/>
        <w:ind w:left="896" w:right="935" w:firstLine="0"/>
        <w:jc w:val="center"/>
        <w:textAlignment w:val="auto"/>
        <w:rPr>
          <w:rFonts w:hint="eastAsia" w:ascii="方正小标宋简体" w:eastAsia="方正小标宋简体"/>
          <w:sz w:val="41"/>
        </w:rPr>
      </w:pPr>
      <w:r>
        <w:rPr>
          <w:rFonts w:hint="eastAsia" w:ascii="方正小标宋简体" w:eastAsia="方正小标宋简体"/>
          <w:color w:val="231F20"/>
          <w:sz w:val="41"/>
        </w:rPr>
        <w:t>纳入计划生育家庭特别扶助制度的通知</w:t>
      </w:r>
    </w:p>
    <w:p>
      <w:pPr>
        <w:pStyle w:val="2"/>
        <w:spacing w:before="75"/>
        <w:ind w:left="896" w:right="934"/>
        <w:jc w:val="center"/>
        <w:rPr>
          <w:rFonts w:hint="eastAsia" w:ascii="宋体" w:eastAsia="宋体"/>
          <w:color w:val="231F20"/>
          <w:spacing w:val="-26"/>
        </w:rPr>
      </w:pPr>
    </w:p>
    <w:p>
      <w:pPr>
        <w:pStyle w:val="2"/>
        <w:spacing w:before="75"/>
        <w:ind w:left="896" w:right="934"/>
        <w:jc w:val="center"/>
        <w:rPr>
          <w:rFonts w:hint="eastAsia" w:ascii="宋体" w:eastAsia="宋体"/>
        </w:rPr>
      </w:pPr>
      <w:r>
        <w:rPr>
          <w:rFonts w:hint="eastAsia" w:ascii="宋体" w:eastAsia="宋体"/>
          <w:color w:val="231F20"/>
          <w:spacing w:val="-26"/>
        </w:rPr>
        <w:t>人口政法〔</w:t>
      </w:r>
      <w:r>
        <w:rPr>
          <w:rFonts w:ascii="Times New Roman" w:eastAsia="Times New Roman"/>
          <w:color w:val="231F20"/>
          <w:spacing w:val="-8"/>
        </w:rPr>
        <w:t>2011</w:t>
      </w:r>
      <w:r>
        <w:rPr>
          <w:rFonts w:hint="eastAsia" w:ascii="宋体" w:eastAsia="宋体"/>
          <w:color w:val="231F20"/>
          <w:spacing w:val="-124"/>
        </w:rPr>
        <w:t>〕</w:t>
      </w:r>
      <w:r>
        <w:rPr>
          <w:rFonts w:ascii="Times New Roman" w:eastAsia="Times New Roman"/>
          <w:color w:val="231F20"/>
        </w:rPr>
        <w:t>62</w:t>
      </w:r>
      <w:r>
        <w:rPr>
          <w:rFonts w:hint="eastAsia" w:ascii="宋体" w:eastAsia="宋体"/>
          <w:color w:val="231F20"/>
        </w:rPr>
        <w:t>号</w:t>
      </w:r>
    </w:p>
    <w:p>
      <w:pPr>
        <w:pStyle w:val="2"/>
        <w:ind w:left="0"/>
        <w:rPr>
          <w:rFonts w:ascii="宋体"/>
          <w:sz w:val="34"/>
        </w:rPr>
      </w:pPr>
      <w:bookmarkStart w:id="0" w:name="_GoBack"/>
      <w:bookmarkEnd w:id="0"/>
    </w:p>
    <w:p>
      <w:pPr>
        <w:pStyle w:val="2"/>
        <w:spacing w:before="5"/>
        <w:ind w:left="0"/>
        <w:rPr>
          <w:rFonts w:ascii="宋体"/>
          <w:sz w:val="27"/>
        </w:rPr>
      </w:pPr>
    </w:p>
    <w:p>
      <w:pPr>
        <w:pStyle w:val="2"/>
        <w:spacing w:line="357" w:lineRule="auto"/>
        <w:ind w:right="292"/>
      </w:pPr>
      <w:r>
        <w:rPr>
          <w:color w:val="231F20"/>
          <w:spacing w:val="-29"/>
        </w:rPr>
        <w:t>各省、自治区、直辖市人口计生委、财政厅</w:t>
      </w:r>
      <w:r>
        <w:rPr>
          <w:color w:val="231F20"/>
          <w:spacing w:val="-37"/>
        </w:rPr>
        <w:t>（</w:t>
      </w:r>
      <w:r>
        <w:rPr>
          <w:color w:val="231F20"/>
          <w:spacing w:val="-36"/>
        </w:rPr>
        <w:t>局</w:t>
      </w:r>
      <w:r>
        <w:rPr>
          <w:color w:val="231F20"/>
          <w:spacing w:val="-131"/>
        </w:rPr>
        <w:t>）</w:t>
      </w:r>
      <w:r>
        <w:rPr>
          <w:color w:val="231F20"/>
          <w:spacing w:val="-28"/>
        </w:rPr>
        <w:t>，计划单列市、新疆</w:t>
      </w:r>
      <w:r>
        <w:rPr>
          <w:color w:val="231F20"/>
          <w:spacing w:val="6"/>
        </w:rPr>
        <w:t>生产建设兵团人口计生委</w:t>
      </w:r>
      <w:r>
        <w:rPr>
          <w:color w:val="231F20"/>
          <w:spacing w:val="-25"/>
        </w:rPr>
        <w:t>、财务局：</w:t>
      </w:r>
    </w:p>
    <w:p>
      <w:pPr>
        <w:pStyle w:val="2"/>
        <w:spacing w:line="357" w:lineRule="auto"/>
        <w:ind w:right="291" w:firstLine="640"/>
        <w:jc w:val="both"/>
      </w:pPr>
      <w:r>
        <w:rPr>
          <w:color w:val="231F20"/>
          <w:spacing w:val="-7"/>
        </w:rPr>
        <w:t>为贯彻落实《中共中央国务院关于全面加强人口和计划生育</w:t>
      </w:r>
      <w:r>
        <w:rPr>
          <w:color w:val="231F20"/>
          <w:spacing w:val="11"/>
        </w:rPr>
        <w:t>工作统筹解决人口问题的决定</w:t>
      </w:r>
      <w:r>
        <w:rPr>
          <w:color w:val="231F20"/>
          <w:spacing w:val="-252"/>
        </w:rPr>
        <w:t>》</w:t>
      </w:r>
      <w:r>
        <w:rPr>
          <w:color w:val="231F20"/>
          <w:spacing w:val="-32"/>
        </w:rPr>
        <w:t>（</w:t>
      </w:r>
      <w:r>
        <w:rPr>
          <w:color w:val="231F20"/>
          <w:spacing w:val="-44"/>
        </w:rPr>
        <w:t>中发〔</w:t>
      </w:r>
      <w:r>
        <w:rPr>
          <w:rFonts w:ascii="Times New Roman" w:eastAsia="Times New Roman"/>
          <w:color w:val="231F20"/>
          <w:spacing w:val="-5"/>
        </w:rPr>
        <w:t>2006</w:t>
      </w:r>
      <w:r>
        <w:rPr>
          <w:color w:val="231F20"/>
          <w:spacing w:val="-118"/>
        </w:rPr>
        <w:t>〕</w:t>
      </w:r>
      <w:r>
        <w:rPr>
          <w:rFonts w:ascii="Times New Roman" w:eastAsia="Times New Roman"/>
          <w:color w:val="231F20"/>
        </w:rPr>
        <w:t>22</w:t>
      </w:r>
      <w:r>
        <w:rPr>
          <w:color w:val="231F20"/>
          <w:spacing w:val="-32"/>
        </w:rPr>
        <w:t>号</w:t>
      </w:r>
      <w:r>
        <w:rPr>
          <w:color w:val="231F20"/>
          <w:spacing w:val="-104"/>
        </w:rPr>
        <w:t>）</w:t>
      </w:r>
      <w:r>
        <w:rPr>
          <w:color w:val="231F20"/>
          <w:spacing w:val="-18"/>
        </w:rPr>
        <w:t>和《国民经济</w:t>
      </w:r>
      <w:r>
        <w:rPr>
          <w:color w:val="231F20"/>
          <w:spacing w:val="-5"/>
        </w:rPr>
        <w:t>和社会发展第十二个五年规划纲要》，进一步建立完善人口和计</w:t>
      </w:r>
      <w:r>
        <w:rPr>
          <w:color w:val="231F20"/>
          <w:spacing w:val="14"/>
        </w:rPr>
        <w:t>划生育利益导向政策体系</w:t>
      </w:r>
      <w:r>
        <w:rPr>
          <w:color w:val="231F20"/>
          <w:spacing w:val="-12"/>
        </w:rPr>
        <w:t>，促进社会主义和谐社会建设，经国务</w:t>
      </w:r>
      <w:r>
        <w:rPr>
          <w:color w:val="231F20"/>
          <w:spacing w:val="-17"/>
        </w:rPr>
        <w:t>院同意，国家人口计生委、财政部决定，从</w:t>
      </w:r>
      <w:r>
        <w:rPr>
          <w:rFonts w:ascii="Times New Roman" w:eastAsia="Times New Roman"/>
          <w:color w:val="231F20"/>
        </w:rPr>
        <w:t>2011</w:t>
      </w:r>
      <w:r>
        <w:rPr>
          <w:color w:val="231F20"/>
          <w:spacing w:val="-12"/>
        </w:rPr>
        <w:t>年开始，在人口和</w:t>
      </w:r>
      <w:r>
        <w:rPr>
          <w:color w:val="231F20"/>
          <w:spacing w:val="8"/>
        </w:rPr>
        <w:t>计划生育基层基础工作比较扎实的地区</w:t>
      </w:r>
      <w:r>
        <w:rPr>
          <w:color w:val="231F20"/>
          <w:spacing w:val="-12"/>
        </w:rPr>
        <w:t>，将三级以上计划生育手</w:t>
      </w:r>
      <w:r>
        <w:rPr>
          <w:color w:val="231F20"/>
          <w:spacing w:val="-7"/>
        </w:rPr>
        <w:t>术并发症人员</w:t>
      </w:r>
      <w:r>
        <w:rPr>
          <w:color w:val="231F20"/>
          <w:spacing w:val="-31"/>
        </w:rPr>
        <w:t>（</w:t>
      </w:r>
      <w:r>
        <w:rPr>
          <w:color w:val="231F20"/>
          <w:spacing w:val="8"/>
        </w:rPr>
        <w:t>以下简称并发症人员</w:t>
      </w:r>
      <w:r>
        <w:rPr>
          <w:color w:val="231F20"/>
          <w:spacing w:val="-103"/>
        </w:rPr>
        <w:t>）</w:t>
      </w:r>
      <w:r>
        <w:rPr>
          <w:color w:val="231F20"/>
          <w:spacing w:val="11"/>
        </w:rPr>
        <w:t>纳入计划生育家庭特别扶</w:t>
      </w:r>
      <w:r>
        <w:rPr>
          <w:color w:val="231F20"/>
          <w:spacing w:val="-33"/>
          <w:w w:val="101"/>
        </w:rPr>
        <w:t>助制度</w:t>
      </w:r>
      <w:r>
        <w:rPr>
          <w:color w:val="231F20"/>
          <w:spacing w:val="-38"/>
          <w:w w:val="101"/>
        </w:rPr>
        <w:t>（</w:t>
      </w:r>
      <w:r>
        <w:rPr>
          <w:color w:val="231F20"/>
          <w:spacing w:val="1"/>
          <w:w w:val="101"/>
        </w:rPr>
        <w:t>以下简称特别扶助制度</w:t>
      </w:r>
      <w:r>
        <w:rPr>
          <w:color w:val="231F20"/>
          <w:spacing w:val="-96"/>
          <w:w w:val="101"/>
        </w:rPr>
        <w:t>）</w:t>
      </w:r>
      <w:r>
        <w:rPr>
          <w:color w:val="231F20"/>
          <w:spacing w:val="-168"/>
          <w:w w:val="101"/>
        </w:rPr>
        <w:t>，</w:t>
      </w:r>
      <w:r>
        <w:rPr>
          <w:rFonts w:ascii="Times New Roman" w:eastAsia="Times New Roman"/>
          <w:color w:val="231F20"/>
          <w:spacing w:val="3"/>
          <w:w w:val="101"/>
        </w:rPr>
        <w:t>201</w:t>
      </w:r>
      <w:r>
        <w:rPr>
          <w:rFonts w:ascii="Times New Roman" w:eastAsia="Times New Roman"/>
          <w:color w:val="231F20"/>
          <w:w w:val="101"/>
        </w:rPr>
        <w:t>2</w:t>
      </w:r>
      <w:r>
        <w:rPr>
          <w:color w:val="231F20"/>
          <w:spacing w:val="5"/>
          <w:w w:val="101"/>
        </w:rPr>
        <w:t>年在全国推开。现就有关</w:t>
      </w:r>
      <w:r>
        <w:rPr>
          <w:color w:val="231F20"/>
          <w:spacing w:val="8"/>
        </w:rPr>
        <w:t>事项通知如下：</w:t>
      </w:r>
    </w:p>
    <w:p>
      <w:pPr>
        <w:pStyle w:val="2"/>
        <w:spacing w:before="2"/>
        <w:ind w:left="893"/>
        <w:rPr>
          <w:rFonts w:hint="eastAsia" w:ascii="黑体" w:eastAsia="黑体"/>
        </w:rPr>
      </w:pPr>
      <w:r>
        <w:rPr>
          <w:rFonts w:hint="eastAsia" w:ascii="黑体" w:eastAsia="黑体"/>
          <w:color w:val="231F20"/>
        </w:rPr>
        <w:t>一、充分认识将并发症人员纳入特别扶助制度工作的重要</w:t>
      </w:r>
    </w:p>
    <w:p>
      <w:pPr>
        <w:pStyle w:val="2"/>
        <w:spacing w:before="7"/>
        <w:ind w:left="0"/>
        <w:rPr>
          <w:rFonts w:ascii="黑体"/>
          <w:sz w:val="10"/>
        </w:rPr>
      </w:pPr>
    </w:p>
    <w:p>
      <w:pPr>
        <w:pStyle w:val="2"/>
        <w:spacing w:before="60"/>
        <w:rPr>
          <w:rFonts w:hint="eastAsia" w:ascii="黑体" w:eastAsia="黑体"/>
        </w:rPr>
      </w:pPr>
      <w:r>
        <w:rPr>
          <w:rFonts w:hint="eastAsia" w:ascii="黑体" w:eastAsia="黑体"/>
          <w:color w:val="231F20"/>
        </w:rPr>
        <w:t>意义</w:t>
      </w:r>
    </w:p>
    <w:p>
      <w:pPr>
        <w:pStyle w:val="2"/>
        <w:spacing w:before="194"/>
        <w:ind w:left="893"/>
      </w:pPr>
      <w:r>
        <w:rPr>
          <w:color w:val="231F20"/>
        </w:rPr>
        <w:t>并发症问题主要是在特殊历史时期产生的特殊问题。多年</w:t>
      </w:r>
    </w:p>
    <w:p>
      <w:pPr>
        <w:pStyle w:val="2"/>
        <w:spacing w:before="7"/>
        <w:ind w:left="0"/>
        <w:rPr>
          <w:sz w:val="10"/>
        </w:rPr>
      </w:pPr>
    </w:p>
    <w:p>
      <w:pPr>
        <w:pStyle w:val="2"/>
        <w:spacing w:before="60" w:line="357" w:lineRule="auto"/>
        <w:ind w:right="122"/>
      </w:pPr>
      <w:r>
        <w:rPr>
          <w:color w:val="231F20"/>
        </w:rPr>
        <w:t>来，各地党委政府在解决并发症问题上作了大量工作，落实手术并发症免费诊治制度，采取多种措施帮助解决并发症人员生产、</w:t>
      </w:r>
    </w:p>
    <w:p>
      <w:pPr>
        <w:spacing w:after="0" w:line="357" w:lineRule="auto"/>
        <w:sectPr>
          <w:footerReference r:id="rId3" w:type="default"/>
          <w:footerReference r:id="rId4" w:type="even"/>
          <w:type w:val="continuous"/>
          <w:pgSz w:w="11910" w:h="16840"/>
          <w:pgMar w:top="1580" w:right="1240" w:bottom="1640" w:left="1280" w:header="720" w:footer="1442" w:gutter="0"/>
          <w:pgNumType w:start="1"/>
        </w:sectPr>
      </w:pPr>
    </w:p>
    <w:p>
      <w:pPr>
        <w:pStyle w:val="2"/>
        <w:ind w:left="0"/>
        <w:rPr>
          <w:sz w:val="27"/>
        </w:rPr>
      </w:pPr>
    </w:p>
    <w:p>
      <w:pPr>
        <w:pStyle w:val="2"/>
        <w:spacing w:before="59" w:line="357" w:lineRule="auto"/>
        <w:ind w:right="292"/>
        <w:jc w:val="both"/>
      </w:pPr>
      <w:r>
        <w:rPr>
          <w:color w:val="231F20"/>
          <w:spacing w:val="-7"/>
        </w:rPr>
        <w:t>生活困难，取得了积极的社会效果。但由于没有建立统一规范的</w:t>
      </w:r>
      <w:r>
        <w:rPr>
          <w:color w:val="231F20"/>
          <w:spacing w:val="-17"/>
        </w:rPr>
        <w:t>扶助制度，并发症人员的生活保障、医疗、养老等方面仍存在较多</w:t>
      </w:r>
      <w:r>
        <w:rPr>
          <w:color w:val="231F20"/>
          <w:spacing w:val="8"/>
        </w:rPr>
        <w:t>问题。</w:t>
      </w:r>
    </w:p>
    <w:p>
      <w:pPr>
        <w:pStyle w:val="2"/>
        <w:spacing w:before="1" w:line="357" w:lineRule="auto"/>
        <w:ind w:right="117" w:firstLine="640"/>
      </w:pPr>
      <w:r>
        <w:rPr>
          <w:color w:val="231F20"/>
          <w:spacing w:val="8"/>
        </w:rPr>
        <w:t>并发症人员为落实计划生育基本国策</w:t>
      </w:r>
      <w:r>
        <w:rPr>
          <w:color w:val="231F20"/>
          <w:spacing w:val="-12"/>
        </w:rPr>
        <w:t>、促进我国人口与经济</w:t>
      </w:r>
      <w:r>
        <w:rPr>
          <w:color w:val="231F20"/>
          <w:spacing w:val="13"/>
        </w:rPr>
        <w:t>社会协调发展做出了贡献。将并发症人员纳入特别扶助制度是</w:t>
      </w:r>
      <w:r>
        <w:rPr>
          <w:color w:val="231F20"/>
          <w:spacing w:val="14"/>
        </w:rPr>
        <w:t>深入贯彻落实科学发展观</w:t>
      </w:r>
      <w:r>
        <w:rPr>
          <w:color w:val="231F20"/>
          <w:spacing w:val="-11"/>
        </w:rPr>
        <w:t>，保障和改善民生，促进</w:t>
      </w:r>
      <w:r>
        <w:rPr>
          <w:rFonts w:hint="eastAsia"/>
          <w:color w:val="231F20"/>
          <w:spacing w:val="-11"/>
          <w:lang w:eastAsia="zh-CN"/>
        </w:rPr>
        <w:t>社会和谐稳定</w:t>
      </w:r>
      <w:r>
        <w:rPr>
          <w:color w:val="231F20"/>
          <w:spacing w:val="5"/>
        </w:rPr>
        <w:t>的重要举措，有利于完善我国人口和计划生育利益导向政策体</w:t>
      </w:r>
      <w:r>
        <w:rPr>
          <w:color w:val="231F20"/>
          <w:spacing w:val="-8"/>
        </w:rPr>
        <w:t>系，激发广大群众自觉实行计划生育的积极性，促进低生育水平稳定；有利于切实维护并发症人员的基本权益，缓解他们面临的</w:t>
      </w:r>
      <w:r>
        <w:rPr>
          <w:color w:val="231F20"/>
          <w:spacing w:val="-12"/>
        </w:rPr>
        <w:t>实际困难，促进社会公平。各级人口计生、财政部门要高度重视，</w:t>
      </w:r>
      <w:r>
        <w:rPr>
          <w:color w:val="231F20"/>
          <w:spacing w:val="8"/>
        </w:rPr>
        <w:t>积极稳妥地将并发症人员纳入特别扶助制度</w:t>
      </w:r>
      <w:r>
        <w:rPr>
          <w:color w:val="231F20"/>
          <w:spacing w:val="-14"/>
        </w:rPr>
        <w:t>，完善落实并发症免</w:t>
      </w:r>
      <w:r>
        <w:rPr>
          <w:color w:val="231F20"/>
          <w:spacing w:val="-8"/>
        </w:rPr>
        <w:t>费诊治制度，做好与相关社会保障制度相结合，深入开展社会关</w:t>
      </w:r>
      <w:r>
        <w:rPr>
          <w:color w:val="231F20"/>
          <w:spacing w:val="-12"/>
        </w:rPr>
        <w:t>怀，保障并发症人员的基本生活，促进社会稳定与和谐。</w:t>
      </w:r>
    </w:p>
    <w:p>
      <w:pPr>
        <w:pStyle w:val="2"/>
        <w:spacing w:before="2"/>
        <w:ind w:left="893"/>
        <w:rPr>
          <w:rFonts w:hint="eastAsia" w:ascii="黑体" w:eastAsia="黑体"/>
        </w:rPr>
      </w:pPr>
      <w:r>
        <w:rPr>
          <w:rFonts w:hint="eastAsia" w:ascii="黑体" w:eastAsia="黑体"/>
          <w:color w:val="231F20"/>
        </w:rPr>
        <w:t>二、并发症人员纳入特别扶助制度的基本政策</w:t>
      </w:r>
    </w:p>
    <w:p>
      <w:pPr>
        <w:pStyle w:val="2"/>
        <w:spacing w:before="195" w:line="357" w:lineRule="auto"/>
        <w:ind w:right="293" w:firstLine="524"/>
      </w:pPr>
      <w:r>
        <w:rPr>
          <w:rFonts w:hint="eastAsia" w:ascii="宋体" w:eastAsia="宋体"/>
          <w:color w:val="231F20"/>
          <w:spacing w:val="-30"/>
        </w:rPr>
        <w:t>（一</w:t>
      </w:r>
      <w:r>
        <w:rPr>
          <w:rFonts w:hint="eastAsia" w:ascii="宋体" w:eastAsia="宋体"/>
          <w:color w:val="231F20"/>
          <w:spacing w:val="-102"/>
        </w:rPr>
        <w:t>）</w:t>
      </w:r>
      <w:r>
        <w:rPr>
          <w:rFonts w:hint="eastAsia" w:ascii="宋体" w:eastAsia="宋体"/>
          <w:color w:val="231F20"/>
          <w:spacing w:val="14"/>
        </w:rPr>
        <w:t>对象条件。</w:t>
      </w:r>
      <w:r>
        <w:rPr>
          <w:color w:val="231F20"/>
          <w:spacing w:val="13"/>
        </w:rPr>
        <w:t>纳入特别扶助制度的并发症人员应同时具</w:t>
      </w:r>
      <w:r>
        <w:rPr>
          <w:color w:val="231F20"/>
          <w:spacing w:val="9"/>
        </w:rPr>
        <w:t>备以下条件：</w:t>
      </w:r>
    </w:p>
    <w:p>
      <w:pPr>
        <w:pStyle w:val="2"/>
        <w:ind w:left="893"/>
      </w:pPr>
      <w:r>
        <w:rPr>
          <w:color w:val="231F20"/>
        </w:rPr>
        <w:t>一是施行了计划生育手术；</w:t>
      </w:r>
    </w:p>
    <w:p>
      <w:pPr>
        <w:pStyle w:val="2"/>
        <w:spacing w:before="195" w:line="357" w:lineRule="auto"/>
        <w:ind w:left="893" w:right="3028"/>
      </w:pPr>
      <w:r>
        <w:rPr>
          <w:color w:val="231F20"/>
        </w:rPr>
        <w:t>二是按规定鉴定为三级以上的并发症；三是并发症尚未治愈或康复。</w:t>
      </w:r>
    </w:p>
    <w:p>
      <w:pPr>
        <w:pStyle w:val="2"/>
        <w:ind w:left="893"/>
      </w:pPr>
      <w:r>
        <w:rPr>
          <w:color w:val="231F20"/>
        </w:rPr>
        <w:t>并发症人员治愈、康复或死亡的，应及时退出特别扶助制度。</w:t>
      </w:r>
    </w:p>
    <w:p>
      <w:pPr>
        <w:pStyle w:val="2"/>
        <w:spacing w:before="195" w:line="357" w:lineRule="auto"/>
        <w:ind w:right="117" w:firstLine="524"/>
      </w:pPr>
      <w:r>
        <w:rPr>
          <w:rFonts w:hint="eastAsia" w:ascii="宋体" w:eastAsia="宋体"/>
          <w:color w:val="231F20"/>
          <w:spacing w:val="-24"/>
        </w:rPr>
        <w:t>（</w:t>
      </w:r>
      <w:r>
        <w:rPr>
          <w:rFonts w:hint="eastAsia" w:ascii="宋体" w:eastAsia="宋体"/>
          <w:color w:val="231F20"/>
          <w:spacing w:val="-23"/>
        </w:rPr>
        <w:t>二</w:t>
      </w:r>
      <w:r>
        <w:rPr>
          <w:rFonts w:hint="eastAsia" w:ascii="宋体" w:eastAsia="宋体"/>
          <w:color w:val="231F20"/>
          <w:spacing w:val="-96"/>
        </w:rPr>
        <w:t>）</w:t>
      </w:r>
      <w:r>
        <w:rPr>
          <w:rFonts w:hint="eastAsia" w:ascii="宋体" w:eastAsia="宋体"/>
          <w:color w:val="231F20"/>
          <w:spacing w:val="20"/>
        </w:rPr>
        <w:t>确认条件。</w:t>
      </w:r>
      <w:r>
        <w:rPr>
          <w:color w:val="231F20"/>
          <w:spacing w:val="18"/>
        </w:rPr>
        <w:t>人口计生部门负责特别扶助对象的确认。</w:t>
      </w:r>
      <w:r>
        <w:rPr>
          <w:color w:val="231F20"/>
          <w:spacing w:val="9"/>
        </w:rPr>
        <w:t>具体程序是：</w:t>
      </w:r>
    </w:p>
    <w:p>
      <w:pPr>
        <w:spacing w:after="0" w:line="357" w:lineRule="auto"/>
        <w:sectPr>
          <w:pgSz w:w="11910" w:h="16840"/>
          <w:pgMar w:top="1580" w:right="1240" w:bottom="1640" w:left="1280" w:header="0" w:footer="1442" w:gutter="0"/>
        </w:sectPr>
      </w:pPr>
    </w:p>
    <w:p>
      <w:pPr>
        <w:pStyle w:val="2"/>
        <w:ind w:left="0"/>
        <w:rPr>
          <w:sz w:val="27"/>
        </w:rPr>
      </w:pPr>
    </w:p>
    <w:p>
      <w:pPr>
        <w:pStyle w:val="2"/>
        <w:spacing w:before="59"/>
        <w:ind w:left="891"/>
      </w:pPr>
      <w:r>
        <w:rPr>
          <w:color w:val="231F20"/>
          <w:w w:val="105"/>
        </w:rPr>
        <w:t>——本人提出申请。</w:t>
      </w:r>
    </w:p>
    <w:p>
      <w:pPr>
        <w:pStyle w:val="2"/>
        <w:spacing w:before="195" w:line="357" w:lineRule="auto"/>
        <w:ind w:right="292" w:firstLine="637"/>
      </w:pPr>
      <w:r>
        <w:rPr>
          <w:color w:val="231F20"/>
          <w:spacing w:val="-59"/>
        </w:rPr>
        <w:t>——村</w:t>
      </w:r>
      <w:r>
        <w:rPr>
          <w:color w:val="231F20"/>
          <w:spacing w:val="-31"/>
        </w:rPr>
        <w:t>（</w:t>
      </w:r>
      <w:r>
        <w:rPr>
          <w:color w:val="231F20"/>
          <w:spacing w:val="-30"/>
        </w:rPr>
        <w:t>居</w:t>
      </w:r>
      <w:r>
        <w:rPr>
          <w:color w:val="231F20"/>
          <w:spacing w:val="-102"/>
        </w:rPr>
        <w:t>）</w:t>
      </w:r>
      <w:r>
        <w:rPr>
          <w:color w:val="231F20"/>
          <w:spacing w:val="-15"/>
        </w:rPr>
        <w:t>委会和乡</w:t>
      </w:r>
      <w:r>
        <w:rPr>
          <w:color w:val="231F20"/>
          <w:spacing w:val="-31"/>
        </w:rPr>
        <w:t>（</w:t>
      </w:r>
      <w:r>
        <w:rPr>
          <w:color w:val="231F20"/>
          <w:spacing w:val="-30"/>
        </w:rPr>
        <w:t>镇</w:t>
      </w:r>
      <w:r>
        <w:rPr>
          <w:color w:val="231F20"/>
          <w:spacing w:val="-102"/>
        </w:rPr>
        <w:t>）</w:t>
      </w:r>
      <w:r>
        <w:rPr>
          <w:color w:val="231F20"/>
          <w:spacing w:val="-15"/>
        </w:rPr>
        <w:t>人民政府</w:t>
      </w:r>
      <w:r>
        <w:rPr>
          <w:color w:val="231F20"/>
          <w:spacing w:val="-31"/>
        </w:rPr>
        <w:t>（</w:t>
      </w:r>
      <w:r>
        <w:rPr>
          <w:color w:val="231F20"/>
          <w:spacing w:val="5"/>
        </w:rPr>
        <w:t>街道办事处</w:t>
      </w:r>
      <w:r>
        <w:rPr>
          <w:color w:val="231F20"/>
          <w:spacing w:val="-102"/>
        </w:rPr>
        <w:t>）</w:t>
      </w:r>
      <w:r>
        <w:rPr>
          <w:color w:val="231F20"/>
          <w:spacing w:val="10"/>
        </w:rPr>
        <w:t>进行资格</w:t>
      </w:r>
      <w:r>
        <w:rPr>
          <w:color w:val="231F20"/>
          <w:spacing w:val="8"/>
        </w:rPr>
        <w:t>初审。</w:t>
      </w:r>
    </w:p>
    <w:p>
      <w:pPr>
        <w:pStyle w:val="2"/>
        <w:ind w:left="891"/>
      </w:pPr>
      <w:r>
        <w:rPr>
          <w:color w:val="231F20"/>
        </w:rPr>
        <w:t>——县级人口计生行政部门审核并经公示后予以批准。</w:t>
      </w:r>
    </w:p>
    <w:p>
      <w:pPr>
        <w:pStyle w:val="2"/>
        <w:spacing w:before="195"/>
        <w:ind w:left="891"/>
      </w:pPr>
      <w:r>
        <w:rPr>
          <w:color w:val="231F20"/>
        </w:rPr>
        <w:t>——市级和省级人口计生行政部门备案。</w:t>
      </w:r>
    </w:p>
    <w:p>
      <w:pPr>
        <w:pStyle w:val="2"/>
        <w:spacing w:before="195"/>
        <w:ind w:left="893"/>
      </w:pPr>
      <w:r>
        <w:rPr>
          <w:color w:val="231F20"/>
        </w:rPr>
        <w:t>申请人提出申请须持有县级以上并发症专家鉴定组出具的</w:t>
      </w:r>
    </w:p>
    <w:p>
      <w:pPr>
        <w:pStyle w:val="2"/>
        <w:spacing w:before="195"/>
        <w:ind w:left="106"/>
      </w:pPr>
      <w:r>
        <w:rPr>
          <w:color w:val="231F20"/>
        </w:rPr>
        <w:t>《计划生育手术并发症技术鉴定书》。</w:t>
      </w:r>
    </w:p>
    <w:p>
      <w:pPr>
        <w:pStyle w:val="2"/>
        <w:spacing w:before="195" w:line="357" w:lineRule="auto"/>
        <w:ind w:right="288" w:firstLine="524"/>
        <w:rPr>
          <w:rFonts w:ascii="Times New Roman" w:eastAsia="Times New Roman"/>
        </w:rPr>
      </w:pPr>
      <w:r>
        <w:rPr>
          <w:rFonts w:hint="eastAsia" w:ascii="宋体" w:eastAsia="宋体"/>
          <w:color w:val="231F20"/>
          <w:spacing w:val="-37"/>
        </w:rPr>
        <w:t>（</w:t>
      </w:r>
      <w:r>
        <w:rPr>
          <w:rFonts w:hint="eastAsia" w:ascii="宋体" w:eastAsia="宋体"/>
          <w:color w:val="231F20"/>
          <w:spacing w:val="-36"/>
        </w:rPr>
        <w:t>三</w:t>
      </w:r>
      <w:r>
        <w:rPr>
          <w:rFonts w:hint="eastAsia" w:ascii="宋体" w:eastAsia="宋体"/>
          <w:color w:val="231F20"/>
          <w:spacing w:val="-109"/>
        </w:rPr>
        <w:t>）</w:t>
      </w:r>
      <w:r>
        <w:rPr>
          <w:rFonts w:hint="eastAsia" w:ascii="宋体" w:eastAsia="宋体"/>
          <w:color w:val="231F20"/>
          <w:spacing w:val="8"/>
        </w:rPr>
        <w:t>扶助标准。</w:t>
      </w:r>
      <w:r>
        <w:rPr>
          <w:color w:val="231F20"/>
          <w:spacing w:val="9"/>
        </w:rPr>
        <w:t>对三级以上并发症人员</w:t>
      </w:r>
      <w:r>
        <w:rPr>
          <w:color w:val="231F20"/>
          <w:spacing w:val="-14"/>
        </w:rPr>
        <w:t>，给予每人每月不低</w:t>
      </w:r>
      <w:r>
        <w:rPr>
          <w:color w:val="231F20"/>
          <w:spacing w:val="49"/>
        </w:rPr>
        <w:t>于</w:t>
      </w:r>
      <w:r>
        <w:rPr>
          <w:rFonts w:ascii="Times New Roman" w:eastAsia="Times New Roman"/>
          <w:color w:val="231F20"/>
        </w:rPr>
        <w:t>100</w:t>
      </w:r>
      <w:r>
        <w:rPr>
          <w:color w:val="231F20"/>
          <w:spacing w:val="14"/>
        </w:rPr>
        <w:t>元的扶助金</w:t>
      </w:r>
      <w:r>
        <w:rPr>
          <w:color w:val="231F20"/>
          <w:spacing w:val="-13"/>
        </w:rPr>
        <w:t>；对二级并发症人员，给予每人每月不低于</w:t>
      </w:r>
      <w:r>
        <w:rPr>
          <w:rFonts w:ascii="Times New Roman" w:eastAsia="Times New Roman"/>
          <w:color w:val="231F20"/>
        </w:rPr>
        <w:t>200</w:t>
      </w:r>
    </w:p>
    <w:p>
      <w:pPr>
        <w:pStyle w:val="2"/>
        <w:spacing w:line="357" w:lineRule="auto"/>
        <w:ind w:right="292"/>
      </w:pPr>
      <w:r>
        <w:rPr>
          <w:color w:val="231F20"/>
        </w:rPr>
        <w:t>元的扶助金；对一级并发症人员，给予每人每月不低于</w:t>
      </w:r>
      <w:r>
        <w:rPr>
          <w:rFonts w:ascii="Times New Roman" w:eastAsia="Times New Roman"/>
          <w:color w:val="231F20"/>
        </w:rPr>
        <w:t>300</w:t>
      </w:r>
      <w:r>
        <w:rPr>
          <w:color w:val="231F20"/>
        </w:rPr>
        <w:t>元的扶助金。</w:t>
      </w:r>
    </w:p>
    <w:p>
      <w:pPr>
        <w:pStyle w:val="2"/>
        <w:spacing w:line="357" w:lineRule="auto"/>
        <w:ind w:right="292" w:firstLine="640"/>
      </w:pPr>
      <w:r>
        <w:rPr>
          <w:color w:val="231F20"/>
        </w:rPr>
        <w:t>同时，要根据城乡居民平均消费水平、物价变动及财政可承受能力，建立特别扶助标准动态调整机制。</w:t>
      </w:r>
    </w:p>
    <w:p>
      <w:pPr>
        <w:pStyle w:val="2"/>
        <w:spacing w:before="1" w:line="357" w:lineRule="auto"/>
        <w:ind w:right="292" w:firstLine="524"/>
        <w:jc w:val="both"/>
      </w:pPr>
      <w:r>
        <w:rPr>
          <w:rFonts w:hint="eastAsia" w:ascii="宋体" w:eastAsia="宋体"/>
          <w:color w:val="231F20"/>
          <w:spacing w:val="-30"/>
        </w:rPr>
        <w:t>（四</w:t>
      </w:r>
      <w:r>
        <w:rPr>
          <w:rFonts w:hint="eastAsia" w:ascii="宋体" w:eastAsia="宋体"/>
          <w:color w:val="231F20"/>
          <w:spacing w:val="-102"/>
        </w:rPr>
        <w:t>）</w:t>
      </w:r>
      <w:r>
        <w:rPr>
          <w:rFonts w:hint="eastAsia" w:ascii="宋体" w:eastAsia="宋体"/>
          <w:color w:val="231F20"/>
          <w:spacing w:val="14"/>
        </w:rPr>
        <w:t>资金来源和分担。</w:t>
      </w:r>
      <w:r>
        <w:rPr>
          <w:color w:val="231F20"/>
          <w:spacing w:val="13"/>
        </w:rPr>
        <w:t>并发症人员特别扶助资金由中央和</w:t>
      </w:r>
      <w:r>
        <w:rPr>
          <w:color w:val="231F20"/>
          <w:spacing w:val="8"/>
        </w:rPr>
        <w:t>地方财政按比例负担。中央财政按照基本标准</w:t>
      </w:r>
      <w:r>
        <w:rPr>
          <w:color w:val="231F20"/>
          <w:spacing w:val="-18"/>
        </w:rPr>
        <w:t>，对西部地区负担</w:t>
      </w:r>
      <w:r>
        <w:rPr>
          <w:rFonts w:ascii="Times New Roman" w:eastAsia="Times New Roman"/>
          <w:color w:val="231F20"/>
          <w:spacing w:val="3"/>
          <w:w w:val="101"/>
        </w:rPr>
        <w:t>80</w:t>
      </w:r>
      <w:r>
        <w:rPr>
          <w:rFonts w:ascii="Times New Roman" w:eastAsia="Times New Roman"/>
          <w:color w:val="231F20"/>
          <w:spacing w:val="19"/>
          <w:w w:val="101"/>
        </w:rPr>
        <w:t>%</w:t>
      </w:r>
      <w:r>
        <w:rPr>
          <w:color w:val="231F20"/>
          <w:spacing w:val="-7"/>
          <w:w w:val="101"/>
        </w:rPr>
        <w:t>，对中部地区负担</w:t>
      </w:r>
      <w:r>
        <w:rPr>
          <w:rFonts w:ascii="Times New Roman" w:eastAsia="Times New Roman"/>
          <w:color w:val="231F20"/>
          <w:spacing w:val="3"/>
          <w:w w:val="101"/>
        </w:rPr>
        <w:t>50</w:t>
      </w:r>
      <w:r>
        <w:rPr>
          <w:rFonts w:ascii="Times New Roman" w:eastAsia="Times New Roman"/>
          <w:color w:val="231F20"/>
          <w:spacing w:val="5"/>
          <w:w w:val="101"/>
        </w:rPr>
        <w:t>%</w:t>
      </w:r>
      <w:r>
        <w:rPr>
          <w:color w:val="231F20"/>
          <w:spacing w:val="19"/>
          <w:w w:val="101"/>
        </w:rPr>
        <w:t>。东部地区由地方财政自行负担</w:t>
      </w:r>
      <w:r>
        <w:rPr>
          <w:color w:val="231F20"/>
          <w:spacing w:val="-79"/>
          <w:w w:val="101"/>
        </w:rPr>
        <w:t>，中</w:t>
      </w:r>
      <w:r>
        <w:rPr>
          <w:color w:val="231F20"/>
          <w:spacing w:val="25"/>
        </w:rPr>
        <w:t>央财政视情况给予适当奖励。超过基本标准部分由地方自行</w:t>
      </w:r>
      <w:r>
        <w:rPr>
          <w:color w:val="231F20"/>
          <w:spacing w:val="8"/>
        </w:rPr>
        <w:t>负担。</w:t>
      </w:r>
    </w:p>
    <w:p>
      <w:pPr>
        <w:pStyle w:val="2"/>
        <w:spacing w:before="1" w:line="357" w:lineRule="auto"/>
        <w:ind w:right="292" w:firstLine="640"/>
      </w:pPr>
      <w:r>
        <w:rPr>
          <w:color w:val="231F20"/>
        </w:rPr>
        <w:t>各地财政部门必须确保资金及时足额到位，并对全部资金进行严格的监督管理。</w:t>
      </w:r>
    </w:p>
    <w:p>
      <w:pPr>
        <w:pStyle w:val="2"/>
        <w:spacing w:line="357" w:lineRule="auto"/>
        <w:ind w:right="292" w:firstLine="524"/>
      </w:pPr>
      <w:r>
        <w:rPr>
          <w:rFonts w:hint="eastAsia" w:ascii="宋体" w:eastAsia="宋体"/>
          <w:color w:val="231F20"/>
          <w:spacing w:val="-30"/>
        </w:rPr>
        <w:t>（五</w:t>
      </w:r>
      <w:r>
        <w:rPr>
          <w:rFonts w:hint="eastAsia" w:ascii="宋体" w:eastAsia="宋体"/>
          <w:color w:val="231F20"/>
          <w:spacing w:val="-102"/>
        </w:rPr>
        <w:t>）</w:t>
      </w:r>
      <w:r>
        <w:rPr>
          <w:rFonts w:hint="eastAsia" w:ascii="宋体" w:eastAsia="宋体"/>
          <w:color w:val="231F20"/>
          <w:spacing w:val="14"/>
        </w:rPr>
        <w:t>新老政策的衔接。</w:t>
      </w:r>
      <w:r>
        <w:rPr>
          <w:color w:val="231F20"/>
          <w:spacing w:val="13"/>
        </w:rPr>
        <w:t>各地要做好国家特别扶助制度与地方已建立的并发症人员定期扶助制度的衔接。原地方扶助标准</w:t>
      </w:r>
    </w:p>
    <w:p>
      <w:pPr>
        <w:spacing w:after="0" w:line="357" w:lineRule="auto"/>
        <w:sectPr>
          <w:pgSz w:w="11910" w:h="16840"/>
          <w:pgMar w:top="1580" w:right="1240" w:bottom="1640" w:left="1280" w:header="0" w:footer="1442" w:gutter="0"/>
        </w:sectPr>
      </w:pPr>
    </w:p>
    <w:p>
      <w:pPr>
        <w:pStyle w:val="2"/>
        <w:ind w:left="0"/>
        <w:rPr>
          <w:sz w:val="27"/>
        </w:rPr>
      </w:pPr>
    </w:p>
    <w:p>
      <w:pPr>
        <w:pStyle w:val="2"/>
        <w:spacing w:before="59" w:line="357" w:lineRule="auto"/>
        <w:ind w:right="292"/>
        <w:jc w:val="both"/>
      </w:pPr>
      <w:r>
        <w:rPr>
          <w:color w:val="231F20"/>
          <w:spacing w:val="14"/>
        </w:rPr>
        <w:t>低于国家基本标准的</w:t>
      </w:r>
      <w:r>
        <w:rPr>
          <w:color w:val="231F20"/>
        </w:rPr>
        <w:t>，按照国家特别扶助基本标准执行</w:t>
      </w:r>
      <w:r>
        <w:rPr>
          <w:color w:val="231F20"/>
          <w:spacing w:val="-38"/>
        </w:rPr>
        <w:t>；原地方</w:t>
      </w:r>
      <w:r>
        <w:rPr>
          <w:color w:val="231F20"/>
          <w:spacing w:val="14"/>
        </w:rPr>
        <w:t>扶助标准高于国家基本标准的</w:t>
      </w:r>
      <w:r>
        <w:rPr>
          <w:color w:val="231F20"/>
          <w:spacing w:val="-14"/>
        </w:rPr>
        <w:t>，按原标准执行，高出部分所需资</w:t>
      </w:r>
      <w:r>
        <w:rPr>
          <w:color w:val="231F20"/>
          <w:spacing w:val="8"/>
        </w:rPr>
        <w:t>金由原渠道解决。各地要从实际出发</w:t>
      </w:r>
      <w:r>
        <w:rPr>
          <w:color w:val="231F20"/>
          <w:spacing w:val="-11"/>
        </w:rPr>
        <w:t>，做好部分已经落实一次性</w:t>
      </w:r>
      <w:r>
        <w:rPr>
          <w:color w:val="231F20"/>
          <w:spacing w:val="9"/>
        </w:rPr>
        <w:t>生活扶助待遇的并发症人员工作</w:t>
      </w:r>
      <w:r>
        <w:rPr>
          <w:color w:val="231F20"/>
          <w:spacing w:val="-9"/>
        </w:rPr>
        <w:t>，按照相同等级并发症人员扶助</w:t>
      </w:r>
      <w:r>
        <w:rPr>
          <w:color w:val="231F20"/>
          <w:spacing w:val="9"/>
        </w:rPr>
        <w:t>待遇标准基本一致的原则</w:t>
      </w:r>
      <w:r>
        <w:rPr>
          <w:color w:val="231F20"/>
          <w:spacing w:val="-7"/>
        </w:rPr>
        <w:t>，由省级人口计生行政部门决定是否纳</w:t>
      </w:r>
      <w:r>
        <w:rPr>
          <w:color w:val="231F20"/>
          <w:spacing w:val="7"/>
        </w:rPr>
        <w:t>入特别扶助制度。</w:t>
      </w:r>
    </w:p>
    <w:p>
      <w:pPr>
        <w:pStyle w:val="2"/>
        <w:spacing w:before="1"/>
        <w:ind w:left="893"/>
        <w:rPr>
          <w:rFonts w:hint="eastAsia" w:ascii="黑体" w:eastAsia="黑体"/>
        </w:rPr>
      </w:pPr>
      <w:r>
        <w:rPr>
          <w:rFonts w:hint="eastAsia" w:ascii="黑体" w:eastAsia="黑体"/>
          <w:color w:val="231F20"/>
        </w:rPr>
        <w:t>三、工作要求</w:t>
      </w:r>
    </w:p>
    <w:p>
      <w:pPr>
        <w:pStyle w:val="2"/>
        <w:spacing w:before="195" w:line="357" w:lineRule="auto"/>
        <w:ind w:right="291" w:firstLine="524"/>
        <w:jc w:val="both"/>
      </w:pPr>
      <w:r>
        <w:rPr>
          <w:rFonts w:hint="eastAsia" w:ascii="宋体" w:eastAsia="宋体"/>
          <w:color w:val="231F20"/>
          <w:spacing w:val="-30"/>
        </w:rPr>
        <w:t>（一</w:t>
      </w:r>
      <w:r>
        <w:rPr>
          <w:rFonts w:hint="eastAsia" w:ascii="宋体" w:eastAsia="宋体"/>
          <w:color w:val="231F20"/>
          <w:spacing w:val="-102"/>
        </w:rPr>
        <w:t>）</w:t>
      </w:r>
      <w:r>
        <w:rPr>
          <w:rFonts w:hint="eastAsia" w:ascii="宋体" w:eastAsia="宋体"/>
          <w:color w:val="231F20"/>
          <w:spacing w:val="14"/>
        </w:rPr>
        <w:t>切实加强领导。</w:t>
      </w:r>
      <w:r>
        <w:rPr>
          <w:color w:val="231F20"/>
          <w:spacing w:val="13"/>
        </w:rPr>
        <w:t>各地要将并发症人员纳入特别扶助制</w:t>
      </w:r>
      <w:r>
        <w:rPr>
          <w:color w:val="231F20"/>
          <w:spacing w:val="8"/>
        </w:rPr>
        <w:t>度工作列入重要议事日程</w:t>
      </w:r>
      <w:r>
        <w:rPr>
          <w:color w:val="231F20"/>
          <w:spacing w:val="-25"/>
        </w:rPr>
        <w:t>，纳入目标管理责任制，周密部署，稳步</w:t>
      </w:r>
      <w:r>
        <w:rPr>
          <w:color w:val="231F20"/>
          <w:spacing w:val="14"/>
        </w:rPr>
        <w:t>推进。注重做好政策解释工作</w:t>
      </w:r>
      <w:r>
        <w:rPr>
          <w:color w:val="231F20"/>
          <w:spacing w:val="-13"/>
        </w:rPr>
        <w:t>，保护群众的利益和隐私，妥善解</w:t>
      </w:r>
      <w:r>
        <w:rPr>
          <w:color w:val="231F20"/>
          <w:spacing w:val="-18"/>
        </w:rPr>
        <w:t>决历史遗留问题，确保好事办实。遵循不宣传、不炒作、不讨论的</w:t>
      </w:r>
      <w:r>
        <w:rPr>
          <w:color w:val="231F20"/>
          <w:spacing w:val="-28"/>
        </w:rPr>
        <w:t>原则，确保社会稳定。协调民政、社会保障、教育、卫生、扶贫、助</w:t>
      </w:r>
      <w:r>
        <w:rPr>
          <w:color w:val="231F20"/>
          <w:spacing w:val="8"/>
        </w:rPr>
        <w:t>残等相关社会经济政策与特别扶助制度相衔接</w:t>
      </w:r>
      <w:r>
        <w:rPr>
          <w:color w:val="231F20"/>
          <w:spacing w:val="-18"/>
        </w:rPr>
        <w:t>，并给予并发症人</w:t>
      </w:r>
      <w:r>
        <w:rPr>
          <w:color w:val="231F20"/>
          <w:spacing w:val="13"/>
        </w:rPr>
        <w:t>员家庭适当照顾。并发症人员的扶助待遇在实施城乡最低生活</w:t>
      </w:r>
      <w:r>
        <w:rPr>
          <w:color w:val="231F20"/>
          <w:spacing w:val="8"/>
        </w:rPr>
        <w:t>保障制度时不计入家庭收入。并发症人员纳入特别扶助制度</w:t>
      </w:r>
      <w:r>
        <w:rPr>
          <w:color w:val="231F20"/>
          <w:spacing w:val="-91"/>
        </w:rPr>
        <w:t>，不</w:t>
      </w:r>
      <w:r>
        <w:rPr>
          <w:color w:val="231F20"/>
          <w:spacing w:val="13"/>
        </w:rPr>
        <w:t>影响其按规定享受农村部分计划生育家庭奖励扶助制度及其他</w:t>
      </w:r>
      <w:r>
        <w:rPr>
          <w:color w:val="231F20"/>
          <w:spacing w:val="8"/>
        </w:rPr>
        <w:t>奖励优待政策。协调相关部门建立经常性沟通机制</w:t>
      </w:r>
      <w:r>
        <w:rPr>
          <w:color w:val="231F20"/>
          <w:spacing w:val="-26"/>
        </w:rPr>
        <w:t>，及时研究解</w:t>
      </w:r>
      <w:r>
        <w:rPr>
          <w:color w:val="231F20"/>
          <w:spacing w:val="6"/>
        </w:rPr>
        <w:t>决工作中出现的问题。</w:t>
      </w:r>
    </w:p>
    <w:p>
      <w:pPr>
        <w:pStyle w:val="2"/>
        <w:spacing w:before="2" w:line="357" w:lineRule="auto"/>
        <w:ind w:right="292" w:firstLine="524"/>
        <w:jc w:val="both"/>
      </w:pPr>
      <w:r>
        <w:rPr>
          <w:rFonts w:hint="eastAsia" w:ascii="宋体" w:eastAsia="宋体"/>
          <w:color w:val="231F20"/>
          <w:spacing w:val="-30"/>
        </w:rPr>
        <w:t>（二</w:t>
      </w:r>
      <w:r>
        <w:rPr>
          <w:rFonts w:hint="eastAsia" w:ascii="宋体" w:eastAsia="宋体"/>
          <w:color w:val="231F20"/>
          <w:spacing w:val="-102"/>
        </w:rPr>
        <w:t>）</w:t>
      </w:r>
      <w:r>
        <w:rPr>
          <w:rFonts w:hint="eastAsia" w:ascii="宋体" w:eastAsia="宋体"/>
          <w:color w:val="231F20"/>
          <w:spacing w:val="14"/>
        </w:rPr>
        <w:t>认真组织做好并发症鉴定。</w:t>
      </w:r>
      <w:r>
        <w:rPr>
          <w:color w:val="231F20"/>
          <w:spacing w:val="12"/>
        </w:rPr>
        <w:t>各地要严格遵照计划生育</w:t>
      </w:r>
      <w:r>
        <w:rPr>
          <w:color w:val="231F20"/>
          <w:spacing w:val="13"/>
        </w:rPr>
        <w:t>手术并发症鉴定管理办法和鉴定标准</w:t>
      </w:r>
      <w:r>
        <w:rPr>
          <w:color w:val="231F20"/>
          <w:spacing w:val="-19"/>
        </w:rPr>
        <w:t>，按照实事求是、公平合理</w:t>
      </w:r>
      <w:r>
        <w:rPr>
          <w:color w:val="231F20"/>
          <w:spacing w:val="14"/>
        </w:rPr>
        <w:t>的原则组织开展并发症鉴定</w:t>
      </w:r>
      <w:r>
        <w:rPr>
          <w:color w:val="231F20"/>
          <w:spacing w:val="-13"/>
        </w:rPr>
        <w:t>，不得降低标准，扩大范围。已依法</w:t>
      </w:r>
      <w:r>
        <w:rPr>
          <w:color w:val="231F20"/>
          <w:spacing w:val="14"/>
        </w:rPr>
        <w:t>鉴定并已确定等级的并发症人员</w:t>
      </w:r>
      <w:r>
        <w:rPr>
          <w:color w:val="231F20"/>
          <w:spacing w:val="-15"/>
        </w:rPr>
        <w:t>，要进行复核；对申请鉴定并发</w:t>
      </w:r>
    </w:p>
    <w:p>
      <w:pPr>
        <w:spacing w:after="0" w:line="357" w:lineRule="auto"/>
        <w:jc w:val="both"/>
        <w:sectPr>
          <w:pgSz w:w="11910" w:h="16840"/>
          <w:pgMar w:top="1580" w:right="1240" w:bottom="1640" w:left="1280" w:header="0" w:footer="1442" w:gutter="0"/>
        </w:sectPr>
      </w:pPr>
    </w:p>
    <w:p>
      <w:pPr>
        <w:pStyle w:val="2"/>
        <w:ind w:left="0"/>
        <w:rPr>
          <w:sz w:val="27"/>
        </w:rPr>
      </w:pPr>
    </w:p>
    <w:p>
      <w:pPr>
        <w:pStyle w:val="2"/>
        <w:spacing w:before="59" w:line="357" w:lineRule="auto"/>
        <w:ind w:right="117"/>
      </w:pPr>
      <w:r>
        <w:rPr>
          <w:color w:val="231F20"/>
        </w:rPr>
        <w:t>症并需要鉴定等级的，已持有医院或计划生育技术服务机构证明且由有关单位负责治疗的，以及长期接受治疗并有病历资料的，应作为并发症鉴定的重要依据。要开展必要的社会调查，综合考虑各相关因素，严格程序，公正透明，做好并发症的鉴定工作。</w:t>
      </w:r>
    </w:p>
    <w:p>
      <w:pPr>
        <w:pStyle w:val="2"/>
        <w:spacing w:before="1" w:line="357" w:lineRule="auto"/>
        <w:ind w:right="117" w:firstLine="524"/>
      </w:pPr>
      <w:r>
        <w:rPr>
          <w:rFonts w:hint="eastAsia" w:ascii="宋体" w:hAnsi="宋体" w:eastAsia="宋体"/>
          <w:color w:val="231F20"/>
          <w:spacing w:val="-37"/>
        </w:rPr>
        <w:t>（</w:t>
      </w:r>
      <w:r>
        <w:rPr>
          <w:rFonts w:hint="eastAsia" w:ascii="宋体" w:hAnsi="宋体" w:eastAsia="宋体"/>
          <w:color w:val="231F20"/>
          <w:spacing w:val="-36"/>
        </w:rPr>
        <w:t>三</w:t>
      </w:r>
      <w:r>
        <w:rPr>
          <w:rFonts w:hint="eastAsia" w:ascii="宋体" w:hAnsi="宋体" w:eastAsia="宋体"/>
          <w:color w:val="231F20"/>
          <w:spacing w:val="-109"/>
        </w:rPr>
        <w:t>）</w:t>
      </w:r>
      <w:r>
        <w:rPr>
          <w:rFonts w:hint="eastAsia" w:ascii="宋体" w:hAnsi="宋体" w:eastAsia="宋体"/>
          <w:color w:val="231F20"/>
          <w:spacing w:val="8"/>
        </w:rPr>
        <w:t>开展监督检查与评估。</w:t>
      </w:r>
      <w:r>
        <w:rPr>
          <w:color w:val="231F20"/>
          <w:spacing w:val="8"/>
        </w:rPr>
        <w:t>各地要健全完善资格确认</w:t>
      </w:r>
      <w:r>
        <w:rPr>
          <w:color w:val="231F20"/>
          <w:spacing w:val="-52"/>
        </w:rPr>
        <w:t>、资金</w:t>
      </w:r>
      <w:r>
        <w:rPr>
          <w:color w:val="231F20"/>
          <w:spacing w:val="-17"/>
        </w:rPr>
        <w:t>管理、资金发放与监督评估“四权分离”的运行机制，切实加强对</w:t>
      </w:r>
      <w:r>
        <w:rPr>
          <w:color w:val="231F20"/>
        </w:rPr>
        <w:t>并发症鉴定管理、对象确认以及特别扶助资金发放的监督检查。</w:t>
      </w:r>
      <w:r>
        <w:rPr>
          <w:color w:val="231F20"/>
          <w:spacing w:val="-6"/>
        </w:rPr>
        <w:t>既要防止随意放宽政策、弄虚作假，也要防止推诿扯皮、延期办</w:t>
      </w:r>
      <w:r>
        <w:rPr>
          <w:color w:val="231F20"/>
          <w:spacing w:val="-27"/>
        </w:rPr>
        <w:t>理。对虚报、冒领、克扣、贪污、挪用、挤占扶助资金等违法行为依</w:t>
      </w:r>
      <w:r>
        <w:rPr>
          <w:color w:val="231F20"/>
          <w:spacing w:val="-7"/>
        </w:rPr>
        <w:t>法严肃查处，并予以通报。各地要建立定期检查制度，国家人口</w:t>
      </w:r>
      <w:r>
        <w:rPr>
          <w:color w:val="231F20"/>
          <w:spacing w:val="5"/>
        </w:rPr>
        <w:t>计生委和财政部将每年组织一次综合评估。</w:t>
      </w:r>
    </w:p>
    <w:p>
      <w:pPr>
        <w:pStyle w:val="2"/>
        <w:spacing w:before="1" w:line="357" w:lineRule="auto"/>
        <w:ind w:right="292" w:firstLine="640"/>
        <w:jc w:val="both"/>
      </w:pPr>
      <w:r>
        <w:rPr>
          <w:color w:val="231F20"/>
        </w:rPr>
        <w:t>各地要按照本通知精神，制定配套政策和具体实施细则，规范制度运行的流程。要加强调查研究，及时总结经验，不断完善各项措施，并将有关情况报告国家人口计生委、财政部。</w:t>
      </w:r>
    </w:p>
    <w:p>
      <w:pPr>
        <w:pStyle w:val="2"/>
        <w:ind w:left="0"/>
        <w:rPr>
          <w:sz w:val="30"/>
        </w:rPr>
      </w:pPr>
    </w:p>
    <w:p>
      <w:pPr>
        <w:pStyle w:val="2"/>
        <w:ind w:left="0"/>
        <w:rPr>
          <w:sz w:val="30"/>
        </w:rPr>
      </w:pPr>
    </w:p>
    <w:p>
      <w:pPr>
        <w:pStyle w:val="2"/>
        <w:ind w:left="0"/>
        <w:rPr>
          <w:sz w:val="30"/>
        </w:rPr>
      </w:pPr>
    </w:p>
    <w:p>
      <w:pPr>
        <w:pStyle w:val="2"/>
        <w:ind w:left="0"/>
        <w:rPr>
          <w:sz w:val="30"/>
        </w:rPr>
      </w:pPr>
    </w:p>
    <w:p>
      <w:pPr>
        <w:pStyle w:val="2"/>
        <w:spacing w:before="239"/>
        <w:ind w:left="5549"/>
      </w:pPr>
      <w:r>
        <w:rPr>
          <w:rFonts w:ascii="Times New Roman" w:eastAsia="Times New Roman"/>
          <w:color w:val="231F20"/>
        </w:rPr>
        <w:t>2011</w:t>
      </w:r>
      <w:r>
        <w:rPr>
          <w:color w:val="231F20"/>
          <w:spacing w:val="46"/>
        </w:rPr>
        <w:t>年</w:t>
      </w:r>
      <w:r>
        <w:rPr>
          <w:rFonts w:ascii="Times New Roman" w:eastAsia="Times New Roman"/>
          <w:color w:val="231F20"/>
        </w:rPr>
        <w:t>6</w:t>
      </w:r>
      <w:r>
        <w:rPr>
          <w:color w:val="231F20"/>
          <w:spacing w:val="46"/>
        </w:rPr>
        <w:t>月</w:t>
      </w:r>
      <w:r>
        <w:rPr>
          <w:rFonts w:ascii="Times New Roman" w:eastAsia="Times New Roman"/>
          <w:color w:val="231F20"/>
        </w:rPr>
        <w:t>15</w:t>
      </w:r>
      <w:r>
        <w:rPr>
          <w:color w:val="231F20"/>
        </w:rPr>
        <w:t>日</w:t>
      </w:r>
    </w:p>
    <w:sectPr>
      <w:pgSz w:w="11910" w:h="16840"/>
      <w:pgMar w:top="1580" w:right="1240" w:bottom="1640" w:left="1280" w:header="0" w:footer="144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556864" behindDoc="1" locked="0" layoutInCell="1" allowOverlap="1">
              <wp:simplePos x="0" y="0"/>
              <wp:positionH relativeFrom="page">
                <wp:posOffset>6165850</wp:posOffset>
              </wp:positionH>
              <wp:positionV relativeFrom="page">
                <wp:posOffset>9636760</wp:posOffset>
              </wp:positionV>
              <wp:extent cx="434340" cy="2000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485.5pt;margin-top:758.8pt;height:15.75pt;width:34.2pt;mso-position-horizontal-relative:page;mso-position-vertical-relative:page;z-index:-251759616;mso-width-relative:page;mso-height-relative:page;" filled="f" stroked="f" coordsize="21600,21600" o:gfxdata="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DcW/zbAAAADgEAAA8AAAAAAAAA&#10;AQAgAAAAIgAAAGRycy9kb3ducmV2LnhtbFBLAQIUABQAAAAIAIdO4kDXdcGBnAEAACMDAAAOAAAA&#10;AAAAAAEAIAAAACoBAABkcnMvZTJvRG9jLnhtbFBLBQYAAAAABgAGAFkBAAA4BQAAAAA=&#10;">
              <v:fill on="f" focussize="0,0"/>
              <v:stroke on="f"/>
              <v:imagedata o:title=""/>
              <o:lock v:ext="edit" aspectratio="f"/>
              <v:textbox inset="0mm,0mm,0mm,0mm">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557888" behindDoc="1" locked="0" layoutInCell="1" allowOverlap="1">
              <wp:simplePos x="0" y="0"/>
              <wp:positionH relativeFrom="page">
                <wp:posOffset>960755</wp:posOffset>
              </wp:positionH>
              <wp:positionV relativeFrom="page">
                <wp:posOffset>9636760</wp:posOffset>
              </wp:positionV>
              <wp:extent cx="434340" cy="2000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75.65pt;margin-top:758.8pt;height:15.75pt;width:34.2pt;mso-position-horizontal-relative:page;mso-position-vertical-relative:page;z-index:-251758592;mso-width-relative:page;mso-height-relative:page;" filled="f" stroked="f" coordsize="21600,21600" o:gfxdata="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Yl6qr2gAAAA0BAAAPAAAAAAAAAAEA&#10;IAAAACIAAABkcnMvZG93bnJldi54bWxQSwECFAAUAAAACACHTuJAiWHKv5sBAAAjAwAADgAAAAAA&#10;AAABACAAAAApAQAAZHJzL2Uyb0RvYy54bWxQSwUGAAAAAAYABgBZAQAANgUAAAAA&#10;">
              <v:fill on="f" focussize="0,0"/>
              <v:stroke on="f"/>
              <v:imagedata o:title=""/>
              <o:lock v:ext="edit" aspectratio="f"/>
              <v:textbox inset="0mm,0mm,0mm,0mm">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0FD7"/>
    <w:rsid w:val="29663D9A"/>
    <w:rsid w:val="56375FA8"/>
    <w:rsid w:val="72DE3D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ind w:left="253"/>
    </w:pPr>
    <w:rPr>
      <w:rFonts w:ascii="仿宋_GB2312" w:hAnsi="仿宋_GB2312" w:eastAsia="仿宋_GB2312" w:cs="仿宋_GB2312"/>
      <w:sz w:val="31"/>
      <w:szCs w:val="31"/>
      <w:lang w:val="zh-CN" w:eastAsia="zh-CN" w:bidi="zh-CN"/>
    </w:rPr>
  </w:style>
  <w:style w:type="table" w:customStyle="1" w:styleId="5">
    <w:name w:val="Table Normal"/>
    <w:semiHidden/>
    <w:unhideWhenUsed/>
    <w:qFormat/>
    <w:uiPriority w:val="2"/>
    <w:tblPr>
      <w:tblLayout w:type="fixed"/>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ScaleCrop>false</ScaleCrop>
  <LinksUpToDate>false</LinksUpToDate>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2022-01-14T00:44:00Z</dcterms:created>
  <dc:creator>微软中国 Administrator</dc:creator>
  <cp:lastModifiedBy>Administrator</cp:lastModifiedBy>
  <dcterms:modified xsi:type="dcterms:W3CDTF">2024-12-17T09:14:58Z</dcterms:modified>
  <dc:subject>无命题1</dc:subject>
  <dc:title>关于将三级以上计划生育手术并发症人员纳入计划生育家庭特别扶助制度的通知（人口政法〔2011〕62号）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方正飞翔7.1 专业版</vt:lpwstr>
  </property>
  <property fmtid="{D5CDD505-2E9C-101B-9397-08002B2CF9AE}" pid="4" name="LastSaved">
    <vt:filetime>2022-01-14T00:00:00Z</vt:filetime>
  </property>
  <property fmtid="{D5CDD505-2E9C-101B-9397-08002B2CF9AE}" pid="5" name="KSOProductBuildVer">
    <vt:lpwstr>2052-11.8.2.8555</vt:lpwstr>
  </property>
</Properties>
</file>