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hAnsi="黑体"/>
        </w:rPr>
      </w:pPr>
      <w:r>
        <w:rPr>
          <w:rFonts w:hint="eastAsia" w:hAnsi="黑体"/>
        </w:rPr>
        <w:t>黔财基〔2023〕1号</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黑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黑体" w:eastAsia="方正小标宋简体"/>
          <w:sz w:val="44"/>
          <w:szCs w:val="44"/>
          <w:lang w:val="en-US" w:eastAsia="zh-CN"/>
        </w:rPr>
      </w:pPr>
      <w:bookmarkStart w:id="2" w:name="_GoBack"/>
      <w:bookmarkEnd w:id="2"/>
      <w:r>
        <w:rPr>
          <w:rFonts w:hint="eastAsia" w:ascii="方正小标宋简体" w:hAnsi="黑体" w:eastAsia="方正小标宋简体"/>
          <w:sz w:val="44"/>
          <w:szCs w:val="44"/>
        </w:rPr>
        <w:t>省财政厅</w:t>
      </w:r>
      <w:r>
        <w:rPr>
          <w:rFonts w:hint="eastAsia" w:ascii="方正小标宋简体" w:hAnsi="黑体" w:eastAsia="方正小标宋简体"/>
          <w:sz w:val="44"/>
          <w:szCs w:val="44"/>
          <w:lang w:val="en-US" w:eastAsia="zh-CN"/>
        </w:rPr>
        <w:t xml:space="preserve"> 省乡村振兴局 </w:t>
      </w:r>
      <w:r>
        <w:rPr>
          <w:rFonts w:hint="eastAsia" w:ascii="方正小标宋简体" w:hAnsi="黑体" w:eastAsia="方正小标宋简体"/>
          <w:sz w:val="44"/>
          <w:szCs w:val="44"/>
        </w:rPr>
        <w:t>省</w:t>
      </w:r>
      <w:r>
        <w:rPr>
          <w:rFonts w:hint="eastAsia" w:ascii="方正小标宋简体" w:hAnsi="黑体" w:eastAsia="方正小标宋简体"/>
          <w:sz w:val="44"/>
          <w:szCs w:val="44"/>
          <w:lang w:val="en-US" w:eastAsia="zh-CN"/>
        </w:rPr>
        <w:t xml:space="preserve">农业农村厅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黑体" w:eastAsia="方正小标宋简体"/>
          <w:sz w:val="44"/>
          <w:szCs w:val="44"/>
        </w:rPr>
      </w:pPr>
      <w:r>
        <w:rPr>
          <w:rFonts w:hint="eastAsia" w:ascii="方正小标宋简体" w:hAnsi="黑体" w:eastAsia="方正小标宋简体"/>
          <w:sz w:val="44"/>
          <w:szCs w:val="44"/>
        </w:rPr>
        <w:t>关于</w:t>
      </w:r>
      <w:r>
        <w:rPr>
          <w:rFonts w:hint="eastAsia" w:ascii="方正小标宋简体" w:hAnsi="黑体" w:eastAsia="方正小标宋简体"/>
          <w:sz w:val="44"/>
          <w:szCs w:val="44"/>
          <w:lang w:val="en-US" w:eastAsia="zh-CN"/>
        </w:rPr>
        <w:t>提前</w:t>
      </w:r>
      <w:r>
        <w:rPr>
          <w:rFonts w:hint="eastAsia" w:ascii="方正小标宋简体" w:hAnsi="黑体" w:eastAsia="方正小标宋简体"/>
          <w:sz w:val="44"/>
          <w:szCs w:val="44"/>
        </w:rPr>
        <w:t>下达202</w:t>
      </w:r>
      <w:r>
        <w:rPr>
          <w:rFonts w:hint="eastAsia" w:ascii="方正小标宋简体" w:hAnsi="黑体" w:eastAsia="方正小标宋简体"/>
          <w:sz w:val="44"/>
          <w:szCs w:val="44"/>
          <w:lang w:val="en-US" w:eastAsia="zh-CN"/>
        </w:rPr>
        <w:t>3</w:t>
      </w:r>
      <w:r>
        <w:rPr>
          <w:rFonts w:hint="eastAsia" w:ascii="方正小标宋简体" w:hAnsi="黑体" w:eastAsia="方正小标宋简体"/>
          <w:sz w:val="44"/>
          <w:szCs w:val="44"/>
        </w:rPr>
        <w:t>年厕所革命</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黑体" w:eastAsia="方正小标宋简体"/>
          <w:sz w:val="44"/>
          <w:szCs w:val="44"/>
        </w:rPr>
      </w:pPr>
      <w:r>
        <w:rPr>
          <w:rFonts w:hint="eastAsia" w:ascii="方正小标宋简体" w:hAnsi="黑体" w:eastAsia="方正小标宋简体"/>
          <w:sz w:val="44"/>
          <w:szCs w:val="44"/>
          <w:lang w:val="en-US" w:eastAsia="zh-CN"/>
        </w:rPr>
        <w:t>省级补助资金预算</w:t>
      </w:r>
      <w:r>
        <w:rPr>
          <w:rFonts w:hint="eastAsia" w:ascii="方正小标宋简体" w:hAnsi="黑体" w:eastAsia="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hAnsi="黑体"/>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hAnsi="黑体"/>
          <w:szCs w:val="32"/>
        </w:rPr>
      </w:pPr>
      <w:r>
        <w:rPr>
          <w:rFonts w:hint="eastAsia" w:hAnsi="黑体"/>
          <w:szCs w:val="32"/>
        </w:rPr>
        <w:t>各市（州）财政局、</w:t>
      </w:r>
      <w:r>
        <w:rPr>
          <w:rFonts w:hint="eastAsia" w:hAnsi="黑体"/>
          <w:szCs w:val="32"/>
          <w:lang w:val="en-US" w:eastAsia="zh-CN"/>
        </w:rPr>
        <w:t>乡村振兴局、</w:t>
      </w:r>
      <w:r>
        <w:rPr>
          <w:rFonts w:hint="eastAsia" w:hAnsi="黑体"/>
          <w:szCs w:val="32"/>
        </w:rPr>
        <w:t>农业农村局：</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hAnsi="黑体"/>
          <w:szCs w:val="32"/>
        </w:rPr>
      </w:pPr>
      <w:r>
        <w:rPr>
          <w:rFonts w:hint="eastAsia" w:hAnsi="黑体"/>
          <w:szCs w:val="32"/>
        </w:rPr>
        <w:t>根据《</w:t>
      </w:r>
      <w:r>
        <w:rPr>
          <w:rFonts w:hint="eastAsia" w:hAnsi="黑体"/>
          <w:szCs w:val="32"/>
          <w:lang w:val="en-US" w:eastAsia="zh-CN"/>
        </w:rPr>
        <w:t>中华人民共和国预算法</w:t>
      </w:r>
      <w:r>
        <w:rPr>
          <w:rFonts w:hint="eastAsia" w:hAnsi="黑体"/>
          <w:szCs w:val="32"/>
        </w:rPr>
        <w:t>》</w:t>
      </w:r>
      <w:r>
        <w:rPr>
          <w:rFonts w:hint="eastAsia" w:hAnsi="黑体"/>
          <w:szCs w:val="32"/>
          <w:lang w:eastAsia="zh-CN"/>
        </w:rPr>
        <w:t>，</w:t>
      </w:r>
      <w:r>
        <w:rPr>
          <w:rFonts w:hint="eastAsia" w:hAnsi="黑体"/>
          <w:szCs w:val="32"/>
          <w:lang w:val="en-US" w:eastAsia="zh-CN"/>
        </w:rPr>
        <w:t>按照</w:t>
      </w:r>
      <w:r>
        <w:rPr>
          <w:rFonts w:hint="eastAsia" w:hAnsi="黑体"/>
          <w:szCs w:val="32"/>
          <w:lang w:eastAsia="zh-CN"/>
        </w:rPr>
        <w:t>《</w:t>
      </w:r>
      <w:r>
        <w:rPr>
          <w:rFonts w:hint="eastAsia" w:hAnsi="黑体"/>
          <w:szCs w:val="32"/>
          <w:lang w:val="en-US" w:eastAsia="zh-CN"/>
        </w:rPr>
        <w:t>省乡村振兴局 省农业农村厅 省财政厅关于2023年农村厕所革命省级补助资金及改厕任务分配建议方案的请示》（黔乡振呈</w:t>
      </w:r>
      <w:r>
        <w:rPr>
          <w:rFonts w:hint="eastAsia" w:ascii="仿宋_GB2312" w:hAnsi="仿宋_GB2312" w:eastAsia="仿宋_GB2312" w:cs="仿宋_GB2312"/>
          <w:szCs w:val="32"/>
          <w:lang w:val="en-US" w:eastAsia="zh-CN"/>
        </w:rPr>
        <w:t>〔</w:t>
      </w:r>
      <w:r>
        <w:rPr>
          <w:rFonts w:hint="eastAsia" w:hAnsi="黑体"/>
          <w:szCs w:val="32"/>
          <w:lang w:val="en-US" w:eastAsia="zh-CN"/>
        </w:rPr>
        <w:t>2022</w:t>
      </w:r>
      <w:r>
        <w:rPr>
          <w:rFonts w:hint="eastAsia" w:ascii="仿宋_GB2312" w:hAnsi="仿宋_GB2312" w:eastAsia="仿宋_GB2312" w:cs="仿宋_GB2312"/>
          <w:szCs w:val="32"/>
          <w:lang w:val="en-US" w:eastAsia="zh-CN"/>
        </w:rPr>
        <w:t>〕</w:t>
      </w:r>
      <w:r>
        <w:rPr>
          <w:rFonts w:hint="eastAsia" w:hAnsi="黑体"/>
          <w:szCs w:val="32"/>
          <w:lang w:val="en-US" w:eastAsia="zh-CN"/>
        </w:rPr>
        <w:t>56号），</w:t>
      </w:r>
      <w:r>
        <w:rPr>
          <w:rFonts w:hint="eastAsia" w:hAnsi="黑体"/>
          <w:szCs w:val="32"/>
        </w:rPr>
        <w:t>现</w:t>
      </w:r>
      <w:r>
        <w:rPr>
          <w:rFonts w:hint="eastAsia" w:hAnsi="黑体"/>
          <w:szCs w:val="32"/>
          <w:lang w:val="en-US" w:eastAsia="zh-CN"/>
        </w:rPr>
        <w:t>提前将厕所革命省级补助资金</w:t>
      </w:r>
      <w:r>
        <w:rPr>
          <w:rFonts w:hint="eastAsia" w:hAnsi="黑体"/>
          <w:szCs w:val="32"/>
        </w:rPr>
        <w:t>预算下达</w:t>
      </w:r>
      <w:r>
        <w:rPr>
          <w:rFonts w:hint="eastAsia" w:hAnsi="黑体"/>
          <w:szCs w:val="32"/>
          <w:lang w:val="en-US" w:eastAsia="zh-CN"/>
        </w:rPr>
        <w:t>你们</w:t>
      </w:r>
      <w:r>
        <w:rPr>
          <w:rFonts w:hint="eastAsia" w:hAnsi="黑体"/>
          <w:szCs w:val="32"/>
        </w:rPr>
        <w:t>（详见附件1），</w:t>
      </w:r>
      <w:r>
        <w:rPr>
          <w:rFonts w:hint="eastAsia" w:hAnsi="黑体"/>
          <w:szCs w:val="32"/>
          <w:lang w:val="en-US" w:eastAsia="zh-CN"/>
        </w:rPr>
        <w:t>专项</w:t>
      </w:r>
      <w:r>
        <w:rPr>
          <w:rFonts w:hint="eastAsia" w:hAnsi="黑体"/>
          <w:szCs w:val="32"/>
        </w:rPr>
        <w:t>用于农村厕所革命整村推进财政奖补。支出列入202</w:t>
      </w:r>
      <w:r>
        <w:rPr>
          <w:rFonts w:hint="eastAsia" w:hAnsi="黑体"/>
          <w:szCs w:val="32"/>
          <w:lang w:val="en-US" w:eastAsia="zh-CN"/>
        </w:rPr>
        <w:t>3</w:t>
      </w:r>
      <w:r>
        <w:rPr>
          <w:rFonts w:hint="eastAsia" w:hAnsi="黑体"/>
          <w:szCs w:val="32"/>
        </w:rPr>
        <w:t>年政府收支分类科目“2139999—其他农林水支出”。现将有关事项通知如下：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hAnsi="黑体"/>
          <w:szCs w:val="32"/>
        </w:rPr>
      </w:pPr>
      <w:r>
        <w:rPr>
          <w:rFonts w:hint="eastAsia" w:hAnsi="黑体"/>
          <w:szCs w:val="32"/>
        </w:rPr>
        <w:t>一、</w:t>
      </w:r>
      <w:r>
        <w:rPr>
          <w:rFonts w:hint="eastAsia" w:hAnsi="黑体"/>
          <w:szCs w:val="32"/>
          <w:lang w:val="en-US" w:eastAsia="zh-CN"/>
        </w:rPr>
        <w:t>本次下达资金按80%用于2022年改厕任务完成奖补、10%用于推进2023年改厕任务、10%用于2023年整村推进的因素进行分配。</w:t>
      </w:r>
      <w:r>
        <w:rPr>
          <w:rFonts w:hint="eastAsia" w:hAnsi="黑体"/>
          <w:szCs w:val="32"/>
        </w:rPr>
        <w:t>各市（州）在收到预算文件30日内，将资金分解下达本行政区域县级财政部门</w:t>
      </w:r>
      <w:r>
        <w:rPr>
          <w:rFonts w:hint="eastAsia" w:ascii="仿宋_GB2312" w:eastAsia="仿宋_GB2312"/>
          <w:sz w:val="32"/>
          <w:szCs w:val="32"/>
          <w:lang w:val="en-US" w:eastAsia="zh-CN"/>
        </w:rPr>
        <w:t>，</w:t>
      </w:r>
      <w:r>
        <w:rPr>
          <w:rFonts w:hint="eastAsia"/>
          <w:sz w:val="32"/>
          <w:szCs w:val="32"/>
          <w:lang w:val="en-US" w:eastAsia="zh-CN"/>
        </w:rPr>
        <w:t>并</w:t>
      </w:r>
      <w:r>
        <w:rPr>
          <w:rFonts w:hint="eastAsia" w:ascii="仿宋_GB2312" w:eastAsia="仿宋_GB2312"/>
          <w:sz w:val="32"/>
          <w:szCs w:val="32"/>
          <w:lang w:val="en-US" w:eastAsia="zh-CN"/>
        </w:rPr>
        <w:t>将10%的资金用于倾斜支持国家和省级乡村振兴重点帮扶县</w:t>
      </w:r>
      <w:r>
        <w:rPr>
          <w:rFonts w:hint="eastAsia"/>
          <w:sz w:val="32"/>
          <w:szCs w:val="32"/>
          <w:lang w:val="en-US" w:eastAsia="zh-CN"/>
        </w:rPr>
        <w:t>、</w:t>
      </w:r>
      <w:r>
        <w:rPr>
          <w:rFonts w:hint="eastAsia" w:hAnsi="黑体"/>
          <w:szCs w:val="32"/>
          <w:lang w:val="en-US" w:eastAsia="zh-CN"/>
        </w:rPr>
        <w:t>农村厕所革命成效明显的激励县</w:t>
      </w:r>
      <w:r>
        <w:rPr>
          <w:rFonts w:hint="eastAsia" w:ascii="仿宋_GB2312" w:eastAsia="仿宋_GB2312"/>
          <w:sz w:val="32"/>
          <w:szCs w:val="32"/>
          <w:lang w:val="en-US" w:eastAsia="zh-CN"/>
        </w:rPr>
        <w:t>，2023年计划新（改）建农村户厕任务数和资金同步倾斜，避免造成县域之间户厕补助差异</w:t>
      </w:r>
      <w:r>
        <w:rPr>
          <w:rFonts w:hint="eastAsia"/>
          <w:sz w:val="32"/>
          <w:szCs w:val="32"/>
          <w:lang w:val="en-US" w:eastAsia="zh-CN"/>
        </w:rPr>
        <w:t>。</w:t>
      </w:r>
      <w:r>
        <w:rPr>
          <w:rFonts w:hint="eastAsia" w:hAnsi="黑体"/>
          <w:szCs w:val="32"/>
          <w:lang w:val="en-US" w:eastAsia="zh-CN"/>
        </w:rPr>
        <w:t>县（市、区、特区）应优先与2023年及以前年度农村生活污水治理项目配套实施，确保厕污收集全配套，注重投入已部份实施</w:t>
      </w:r>
      <w:r>
        <w:rPr>
          <w:rFonts w:hint="eastAsia" w:hAnsi="黑体"/>
          <w:szCs w:val="32"/>
        </w:rPr>
        <w:t>户厕</w:t>
      </w:r>
      <w:r>
        <w:rPr>
          <w:rFonts w:hint="eastAsia" w:hAnsi="黑体"/>
          <w:szCs w:val="32"/>
          <w:lang w:val="en-US" w:eastAsia="zh-CN"/>
        </w:rPr>
        <w:t>改造并通过查缺补漏可实现整村推进的村庄、打造特色小寨的乡村振兴集成示范试点、“四自”创建点等农村人居环境整治提升示范试点村庄、2013年以来财政支持改厕的问题厕所、农村厕所革命成效明显的激励县和其他符合目前农村改厕政策要求的农村</w:t>
      </w:r>
      <w:r>
        <w:rPr>
          <w:rFonts w:hint="eastAsia" w:hAnsi="黑体"/>
          <w:szCs w:val="32"/>
        </w:rPr>
        <w:t>户厕</w:t>
      </w:r>
      <w:r>
        <w:rPr>
          <w:rFonts w:hint="eastAsia" w:hAnsi="黑体"/>
          <w:szCs w:val="32"/>
          <w:lang w:val="en-US" w:eastAsia="zh-CN"/>
        </w:rPr>
        <w:t>。请各市（州）财政局按要求会同主管部门</w:t>
      </w:r>
      <w:r>
        <w:rPr>
          <w:rFonts w:hint="eastAsia" w:hAnsi="黑体"/>
          <w:szCs w:val="32"/>
        </w:rPr>
        <w:t>做好预算指标</w:t>
      </w:r>
      <w:r>
        <w:rPr>
          <w:rFonts w:hint="eastAsia" w:hAnsi="黑体"/>
          <w:szCs w:val="32"/>
          <w:lang w:val="en-US" w:eastAsia="zh-CN"/>
        </w:rPr>
        <w:t>分配</w:t>
      </w:r>
      <w:r>
        <w:rPr>
          <w:rFonts w:hint="eastAsia" w:hAnsi="黑体"/>
          <w:szCs w:val="32"/>
        </w:rPr>
        <w:t>相关工作</w:t>
      </w:r>
      <w:r>
        <w:rPr>
          <w:rFonts w:hint="eastAsia" w:hAnsi="黑体"/>
          <w:szCs w:val="32"/>
          <w:lang w:eastAsia="zh-CN"/>
        </w:rPr>
        <w:t>，</w:t>
      </w:r>
      <w:r>
        <w:rPr>
          <w:rFonts w:hint="eastAsia"/>
          <w:sz w:val="32"/>
          <w:szCs w:val="32"/>
          <w:lang w:val="en-US" w:eastAsia="zh-CN"/>
        </w:rPr>
        <w:t>并</w:t>
      </w:r>
      <w:r>
        <w:rPr>
          <w:rFonts w:hint="eastAsia" w:hAnsi="黑体"/>
          <w:szCs w:val="32"/>
          <w:lang w:val="en-US" w:eastAsia="zh-CN"/>
        </w:rPr>
        <w:t>督促</w:t>
      </w:r>
      <w:r>
        <w:rPr>
          <w:rFonts w:hint="eastAsia" w:hAnsi="黑体"/>
          <w:szCs w:val="32"/>
        </w:rPr>
        <w:t>县级</w:t>
      </w:r>
      <w:r>
        <w:rPr>
          <w:rFonts w:hint="eastAsia" w:hAnsi="黑体"/>
          <w:szCs w:val="32"/>
          <w:lang w:val="en-US" w:eastAsia="zh-CN"/>
        </w:rPr>
        <w:t>主管</w:t>
      </w:r>
      <w:r>
        <w:rPr>
          <w:rFonts w:hint="eastAsia" w:hAnsi="黑体"/>
          <w:szCs w:val="32"/>
        </w:rPr>
        <w:t>部门根据全省农村厕所革命工作部署和本县实施方案加快项目建设。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hAnsi="黑体"/>
          <w:szCs w:val="32"/>
        </w:rPr>
      </w:pPr>
      <w:r>
        <w:rPr>
          <w:rFonts w:hint="eastAsia" w:hAnsi="黑体"/>
          <w:szCs w:val="32"/>
        </w:rPr>
        <w:t>二、按照《财政部 农业农村部关于开展农村厕所革命整村推进财政奖补工作的通知》(财农〔2019〕19号)、《省财政厅 省农业农村厅关于印发〈贵州省农村“厕所革命”财政奖补资金</w:t>
      </w:r>
      <w:r>
        <w:rPr>
          <w:rFonts w:hint="eastAsia" w:hAnsi="黑体"/>
          <w:szCs w:val="32"/>
          <w:lang w:val="en-US" w:eastAsia="zh-CN"/>
        </w:rPr>
        <w:t>管理暂行办法</w:t>
      </w:r>
      <w:r>
        <w:rPr>
          <w:rFonts w:hint="eastAsia" w:hAnsi="黑体"/>
          <w:szCs w:val="32"/>
        </w:rPr>
        <w:t>〉的通知》（黔财基〔20</w:t>
      </w:r>
      <w:r>
        <w:rPr>
          <w:rFonts w:hint="eastAsia" w:hAnsi="黑体"/>
          <w:szCs w:val="32"/>
          <w:lang w:val="en-US" w:eastAsia="zh-CN"/>
        </w:rPr>
        <w:t>22</w:t>
      </w:r>
      <w:r>
        <w:rPr>
          <w:rFonts w:hint="eastAsia" w:hAnsi="黑体"/>
          <w:szCs w:val="32"/>
        </w:rPr>
        <w:t>〕</w:t>
      </w:r>
      <w:r>
        <w:rPr>
          <w:rFonts w:hint="eastAsia" w:hAnsi="黑体"/>
          <w:szCs w:val="32"/>
          <w:lang w:val="en-US" w:eastAsia="zh-CN"/>
        </w:rPr>
        <w:t>8</w:t>
      </w:r>
      <w:r>
        <w:rPr>
          <w:rFonts w:hint="eastAsia" w:hAnsi="黑体"/>
          <w:szCs w:val="32"/>
        </w:rPr>
        <w:t>号）</w:t>
      </w:r>
      <w:r>
        <w:rPr>
          <w:rFonts w:hint="eastAsia" w:hAnsi="黑体"/>
          <w:szCs w:val="32"/>
          <w:lang w:val="en-US" w:eastAsia="zh-CN"/>
        </w:rPr>
        <w:t>等文件</w:t>
      </w:r>
      <w:r>
        <w:rPr>
          <w:rFonts w:hint="eastAsia" w:hAnsi="黑体"/>
          <w:szCs w:val="32"/>
        </w:rPr>
        <w:t>要求，奖补资金重点支持整村推进的行政村内厕所粪污收集、储存、排污管网等建设，持续系统解决农村厕所问题。各地要按照规定，加强资金管理，严格执行国库集中支付制度，按照用款计划和支付申请将资金支付到最终收款人，严禁违规向代管资金专户等财政专户、预算单位实有资金账户、开发区（园区）或乡镇账户、平台公司账户和共管账户转账，挪用国库库款。</w:t>
      </w:r>
      <w:r>
        <w:rPr>
          <w:rFonts w:hint="eastAsia" w:hAnsi="仿宋_GB2312" w:cs="仿宋_GB2312"/>
          <w:b w:val="0"/>
          <w:i w:val="0"/>
          <w:caps w:val="0"/>
          <w:color w:val="auto"/>
          <w:spacing w:val="0"/>
          <w:sz w:val="32"/>
          <w:szCs w:val="32"/>
          <w:shd w:val="clear" w:color="auto" w:fill="FFFFFF"/>
          <w:lang w:val="en-US" w:eastAsia="zh-CN"/>
        </w:rPr>
        <w:t>新（改）建户厕按项目建设实施的，严格执行政府招投标程序。直接补助到人到户的，由县级主管部门及时造册报送县级财政部门通过惠民惠农财政补贴资金“一卡通”发放。</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hAnsi="黑体"/>
          <w:color w:val="auto"/>
          <w:szCs w:val="32"/>
        </w:rPr>
      </w:pPr>
      <w:r>
        <w:rPr>
          <w:rFonts w:hint="eastAsia" w:hAnsi="黑体"/>
          <w:szCs w:val="32"/>
        </w:rPr>
        <w:t>三、各市（州）要按照绩效目标管理要求，进一步加强预算绩效管理，提高资金使用效益。省下达的绩效目标（详见附件2）将作为各地开展自评及复核评价的重要依据，市（州）</w:t>
      </w:r>
      <w:r>
        <w:rPr>
          <w:rFonts w:hint="eastAsia" w:hAnsi="黑体"/>
          <w:szCs w:val="32"/>
          <w:lang w:val="en-US" w:eastAsia="zh-CN"/>
        </w:rPr>
        <w:t>主管</w:t>
      </w:r>
      <w:r>
        <w:rPr>
          <w:rFonts w:hint="eastAsia" w:hAnsi="黑体"/>
          <w:szCs w:val="32"/>
        </w:rPr>
        <w:t>部门要及时将资金的总绩效分解到各县，</w:t>
      </w:r>
      <w:r>
        <w:rPr>
          <w:rFonts w:hint="eastAsia" w:hAnsi="黑体"/>
          <w:szCs w:val="32"/>
          <w:lang w:val="en-US" w:eastAsia="zh-CN"/>
        </w:rPr>
        <w:t>建设年度完成后</w:t>
      </w:r>
      <w:r>
        <w:rPr>
          <w:rFonts w:hint="eastAsia" w:hAnsi="黑体"/>
          <w:szCs w:val="32"/>
        </w:rPr>
        <w:t>按照绩效完成情况对各地改厕情况进行验收。请各市（州）</w:t>
      </w:r>
      <w:r>
        <w:rPr>
          <w:rFonts w:hint="eastAsia" w:hAnsi="黑体"/>
          <w:szCs w:val="32"/>
          <w:lang w:val="en-US" w:eastAsia="zh-CN"/>
        </w:rPr>
        <w:t>主管部门</w:t>
      </w:r>
      <w:r>
        <w:rPr>
          <w:rFonts w:hint="eastAsia" w:hAnsi="黑体"/>
          <w:szCs w:val="32"/>
        </w:rPr>
        <w:t>会同财政</w:t>
      </w:r>
      <w:r>
        <w:rPr>
          <w:rFonts w:hint="eastAsia" w:hAnsi="黑体"/>
          <w:szCs w:val="32"/>
          <w:lang w:val="en-US" w:eastAsia="zh-CN"/>
        </w:rPr>
        <w:t>局</w:t>
      </w:r>
      <w:r>
        <w:rPr>
          <w:rFonts w:hint="eastAsia" w:hAnsi="黑体"/>
          <w:szCs w:val="32"/>
        </w:rPr>
        <w:t>于202</w:t>
      </w:r>
      <w:r>
        <w:rPr>
          <w:rFonts w:hint="eastAsia" w:hAnsi="黑体"/>
          <w:szCs w:val="32"/>
          <w:lang w:val="en-US" w:eastAsia="zh-CN"/>
        </w:rPr>
        <w:t>3</w:t>
      </w:r>
      <w:r>
        <w:rPr>
          <w:rFonts w:hint="eastAsia" w:hAnsi="黑体"/>
          <w:szCs w:val="32"/>
        </w:rPr>
        <w:t>年12月10日前，将本年度自评绩效报告上报省</w:t>
      </w:r>
      <w:r>
        <w:rPr>
          <w:rFonts w:hint="eastAsia" w:hAnsi="黑体"/>
          <w:szCs w:val="32"/>
          <w:lang w:val="en-US" w:eastAsia="zh-CN"/>
        </w:rPr>
        <w:t>级主管部门</w:t>
      </w:r>
      <w:r>
        <w:rPr>
          <w:rFonts w:hint="eastAsia" w:hAnsi="黑体"/>
          <w:szCs w:val="32"/>
        </w:rPr>
        <w:t>，省</w:t>
      </w:r>
      <w:r>
        <w:rPr>
          <w:rFonts w:hint="eastAsia" w:hAnsi="黑体"/>
          <w:szCs w:val="32"/>
          <w:lang w:val="en-US" w:eastAsia="zh-CN"/>
        </w:rPr>
        <w:t>级主管部门</w:t>
      </w:r>
      <w:r>
        <w:rPr>
          <w:rFonts w:hint="eastAsia" w:hAnsi="黑体"/>
          <w:szCs w:val="32"/>
        </w:rPr>
        <w:t>和省财政</w:t>
      </w:r>
      <w:r>
        <w:rPr>
          <w:rFonts w:hint="eastAsia" w:hAnsi="黑体"/>
          <w:szCs w:val="32"/>
          <w:lang w:val="en-US" w:eastAsia="zh-CN"/>
        </w:rPr>
        <w:t>厅</w:t>
      </w:r>
      <w:r>
        <w:rPr>
          <w:rFonts w:hint="eastAsia" w:hAnsi="黑体"/>
          <w:szCs w:val="32"/>
        </w:rPr>
        <w:t>将根据情况适时抽查复核评价，评价结果将作为下年度资金安排的重要依据。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eastAsia="仿宋_GB2312"/>
          <w:sz w:val="32"/>
          <w:szCs w:val="32"/>
        </w:rPr>
      </w:pPr>
      <w:r>
        <w:rPr>
          <w:rFonts w:hint="eastAsia" w:hAnsi="黑体"/>
          <w:szCs w:val="32"/>
        </w:rPr>
        <w:t>四、</w:t>
      </w:r>
      <w:r>
        <w:rPr>
          <w:rFonts w:hint="eastAsia" w:hAnsi="黑体"/>
          <w:szCs w:val="32"/>
          <w:lang w:val="en-US" w:eastAsia="zh-CN"/>
        </w:rPr>
        <w:t>项目实施及管理要求</w:t>
      </w:r>
      <w:r>
        <w:rPr>
          <w:rFonts w:hint="eastAsia" w:hAnsi="黑体"/>
          <w:szCs w:val="32"/>
        </w:rPr>
        <w:t>。</w:t>
      </w:r>
      <w:r>
        <w:rPr>
          <w:rFonts w:hint="eastAsia" w:ascii="仿宋_GB2312" w:eastAsia="仿宋_GB2312"/>
          <w:sz w:val="32"/>
          <w:szCs w:val="32"/>
        </w:rPr>
        <w:t>严格按照中央“数量服从质量、进度服从实效、求好不求快”的指导思想，落实农业农村部和国家乡村振兴局对农村户厕新（改）建系列基本要求：一是必须要按照“宜水则水、宜旱则旱”原则，因地制宜科学选择技术模式，确保按无害化标准推进农村户厕的新（改）建，在我省旱厕改造技术模式未出台前不鼓励实施“旱改旱”类型建设；二是强化改厕施工技术指导和全过程质量管控，指导群众严格执行厕所改造建设流程规范建设；三是完善改厕产品的集中采购和供应方式，有效降低投入成本，保证产品规格和质量等符合质检要求，统一规范；四是推行“首厕过关制”，做好首厕示范试验建设和推广；五是尊重群众意愿，鼓励和引导群众积极参与改厕，推行政府制定标准、农户自愿按标准建设、政府验收合格后按一定比例补助到户的奖补模式，严禁大包大揽。</w:t>
      </w:r>
      <w:r>
        <w:rPr>
          <w:rFonts w:hint="eastAsia" w:ascii="仿宋_GB2312" w:eastAsia="仿宋_GB2312"/>
          <w:sz w:val="32"/>
          <w:szCs w:val="32"/>
          <w:lang w:val="en-US" w:eastAsia="zh-CN"/>
        </w:rPr>
        <w:t>六是</w:t>
      </w:r>
      <w:r>
        <w:rPr>
          <w:rFonts w:hint="eastAsia" w:ascii="仿宋_GB2312" w:eastAsia="仿宋_GB2312"/>
          <w:sz w:val="32"/>
          <w:szCs w:val="32"/>
        </w:rPr>
        <w:t>进一步建立和完善农村改厕台账</w:t>
      </w:r>
      <w:r>
        <w:rPr>
          <w:rFonts w:hint="eastAsia" w:ascii="仿宋_GB2312" w:eastAsia="仿宋_GB2312"/>
          <w:sz w:val="32"/>
          <w:szCs w:val="32"/>
          <w:lang w:eastAsia="zh-CN"/>
        </w:rPr>
        <w:t>，</w:t>
      </w:r>
      <w:r>
        <w:rPr>
          <w:rFonts w:hint="eastAsia" w:ascii="仿宋_GB2312" w:eastAsia="仿宋_GB2312"/>
          <w:sz w:val="32"/>
          <w:szCs w:val="32"/>
        </w:rPr>
        <w:t>台账内容至少包括年度已完成改厕的村庄数量、名称以及完成改厕的农户数及明细，年度未完成改厕的村庄数量、名称以及未完成改厕的农户数及明细等，实行“建档立卡，逐个销号”，做到精准管理。</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hAnsi="黑体"/>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hAnsi="黑体"/>
          <w:szCs w:val="32"/>
        </w:rPr>
      </w:pPr>
      <w:r>
        <w:rPr>
          <w:rFonts w:hint="eastAsia" w:hAnsi="黑体"/>
          <w:szCs w:val="32"/>
        </w:rPr>
        <w:t>附件：1.</w:t>
      </w:r>
      <w:r>
        <w:rPr>
          <w:rFonts w:hint="eastAsia" w:hAnsi="黑体"/>
          <w:szCs w:val="32"/>
          <w:lang w:val="en-US" w:eastAsia="zh-CN"/>
        </w:rPr>
        <w:t>提前下达</w:t>
      </w:r>
      <w:r>
        <w:rPr>
          <w:rFonts w:hint="eastAsia" w:hAnsi="黑体"/>
          <w:szCs w:val="32"/>
        </w:rPr>
        <w:t>202</w:t>
      </w:r>
      <w:r>
        <w:rPr>
          <w:rFonts w:hint="eastAsia" w:hAnsi="黑体"/>
          <w:szCs w:val="32"/>
          <w:lang w:val="en-US" w:eastAsia="zh-CN"/>
        </w:rPr>
        <w:t>3</w:t>
      </w:r>
      <w:r>
        <w:rPr>
          <w:rFonts w:hint="eastAsia" w:hAnsi="黑体"/>
          <w:szCs w:val="32"/>
        </w:rPr>
        <w:t>年厕所革命</w:t>
      </w:r>
      <w:r>
        <w:rPr>
          <w:rFonts w:hint="eastAsia" w:hAnsi="黑体"/>
          <w:szCs w:val="32"/>
          <w:lang w:val="en-US" w:eastAsia="zh-CN"/>
        </w:rPr>
        <w:t>省级补助</w:t>
      </w:r>
      <w:r>
        <w:rPr>
          <w:rFonts w:hint="eastAsia" w:hAnsi="黑体"/>
          <w:szCs w:val="32"/>
        </w:rPr>
        <w:t>资金分配表</w:t>
      </w:r>
    </w:p>
    <w:p>
      <w:pPr>
        <w:keepNext w:val="0"/>
        <w:keepLines w:val="0"/>
        <w:pageBreakBefore w:val="0"/>
        <w:widowControl w:val="0"/>
        <w:kinsoku/>
        <w:wordWrap/>
        <w:overflowPunct/>
        <w:topLinePunct w:val="0"/>
        <w:autoSpaceDE/>
        <w:autoSpaceDN/>
        <w:bidi w:val="0"/>
        <w:adjustRightInd w:val="0"/>
        <w:snapToGrid w:val="0"/>
        <w:spacing w:line="560" w:lineRule="exact"/>
        <w:ind w:left="1896" w:leftChars="500" w:hanging="316" w:hangingChars="100"/>
        <w:textAlignment w:val="auto"/>
        <w:rPr>
          <w:rFonts w:hint="eastAsia" w:hAnsi="黑体"/>
          <w:szCs w:val="32"/>
        </w:rPr>
      </w:pPr>
      <w:r>
        <w:rPr>
          <w:rFonts w:hint="eastAsia" w:hAnsi="黑体"/>
          <w:szCs w:val="32"/>
        </w:rPr>
        <w:t>2.202</w:t>
      </w:r>
      <w:r>
        <w:rPr>
          <w:rFonts w:hint="eastAsia" w:hAnsi="黑体"/>
          <w:szCs w:val="32"/>
          <w:lang w:val="en-US" w:eastAsia="zh-CN"/>
        </w:rPr>
        <w:t>3</w:t>
      </w:r>
      <w:r>
        <w:rPr>
          <w:rFonts w:hint="eastAsia" w:hAnsi="黑体"/>
          <w:szCs w:val="32"/>
        </w:rPr>
        <w:t>年厕所革命</w:t>
      </w:r>
      <w:r>
        <w:rPr>
          <w:rFonts w:hint="eastAsia" w:hAnsi="黑体"/>
          <w:szCs w:val="32"/>
          <w:lang w:val="en-US" w:eastAsia="zh-CN"/>
        </w:rPr>
        <w:t>省级补助资金省</w:t>
      </w:r>
      <w:r>
        <w:rPr>
          <w:rFonts w:hint="eastAsia" w:hAnsi="黑体"/>
          <w:szCs w:val="32"/>
        </w:rPr>
        <w:t>对下转移支付项目绩效目标分解下达表</w:t>
      </w:r>
    </w:p>
    <w:tbl>
      <w:tblPr>
        <w:tblStyle w:val="5"/>
        <w:tblpPr w:leftFromText="181" w:rightFromText="181" w:horzAnchor="margin" w:tblpXSpec="center" w:tblpYSpec="bottom"/>
        <w:tblOverlap w:val="never"/>
        <w:tblW w:w="8844" w:type="dxa"/>
        <w:tblInd w:w="0" w:type="dxa"/>
        <w:tblBorders>
          <w:top w:val="single" w:color="000000" w:sz="8" w:space="0"/>
          <w:left w:val="none" w:color="auto" w:sz="0" w:space="0"/>
          <w:bottom w:val="none" w:color="auto" w:sz="0" w:space="0"/>
          <w:right w:val="none" w:color="auto" w:sz="0" w:space="0"/>
          <w:insideH w:val="single" w:color="000000" w:sz="8" w:space="0"/>
          <w:insideV w:val="none" w:color="auto" w:sz="0" w:space="0"/>
        </w:tblBorders>
        <w:tblLayout w:type="fixed"/>
        <w:tblCellMar>
          <w:top w:w="0" w:type="dxa"/>
          <w:left w:w="0" w:type="dxa"/>
          <w:bottom w:w="0" w:type="dxa"/>
          <w:right w:w="0" w:type="dxa"/>
        </w:tblCellMar>
      </w:tblPr>
      <w:tblGrid>
        <w:gridCol w:w="4422"/>
        <w:gridCol w:w="4422"/>
      </w:tblGrid>
      <w:tr>
        <w:tblPrEx>
          <w:tblBorders>
            <w:top w:val="single" w:color="000000" w:sz="8" w:space="0"/>
            <w:left w:val="none" w:color="auto" w:sz="0" w:space="0"/>
            <w:bottom w:val="none" w:color="auto" w:sz="0" w:space="0"/>
            <w:right w:val="none" w:color="auto" w:sz="0" w:space="0"/>
            <w:insideH w:val="single" w:color="000000" w:sz="8" w:space="0"/>
            <w:insideV w:val="none" w:color="auto" w:sz="0" w:space="0"/>
          </w:tblBorders>
        </w:tblPrEx>
        <w:tc>
          <w:tcPr>
            <w:tcW w:w="4422" w:type="dxa"/>
            <w:tcBorders>
              <w:top w:val="single" w:color="000000" w:sz="6" w:space="0"/>
              <w:bottom w:val="single" w:color="000000" w:sz="8" w:space="0"/>
            </w:tcBorders>
            <w:noWrap w:val="0"/>
            <w:vAlign w:val="top"/>
          </w:tcPr>
          <w:p>
            <w:pPr>
              <w:keepNext w:val="0"/>
              <w:keepLines w:val="0"/>
              <w:pageBreakBefore w:val="0"/>
              <w:widowControl w:val="0"/>
              <w:kinsoku/>
              <w:wordWrap/>
              <w:overflowPunct/>
              <w:topLinePunct w:val="0"/>
              <w:bidi w:val="0"/>
              <w:spacing w:line="560" w:lineRule="exact"/>
              <w:ind w:left="316" w:leftChars="100"/>
              <w:jc w:val="left"/>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 xml:space="preserve">贵州省财政厅办公室                   </w:t>
            </w:r>
            <w:bookmarkStart w:id="0" w:name="OLE_LINK2"/>
            <w:bookmarkStart w:id="1" w:name="OLE_LINK1"/>
          </w:p>
          <w:bookmarkEnd w:id="0"/>
          <w:bookmarkEnd w:id="1"/>
        </w:tc>
        <w:tc>
          <w:tcPr>
            <w:tcW w:w="4422" w:type="dxa"/>
            <w:tcBorders>
              <w:top w:val="single" w:color="000000" w:sz="6" w:space="0"/>
              <w:bottom w:val="single" w:color="000000" w:sz="8" w:space="0"/>
            </w:tcBorders>
            <w:noWrap w:val="0"/>
            <w:vAlign w:val="top"/>
          </w:tcPr>
          <w:p>
            <w:pPr>
              <w:keepNext w:val="0"/>
              <w:keepLines w:val="0"/>
              <w:pageBreakBefore w:val="0"/>
              <w:widowControl w:val="0"/>
              <w:kinsoku/>
              <w:wordWrap/>
              <w:overflowPunct/>
              <w:topLinePunct w:val="0"/>
              <w:bidi w:val="0"/>
              <w:spacing w:line="560" w:lineRule="exact"/>
              <w:ind w:right="319" w:rightChars="101"/>
              <w:jc w:val="right"/>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20</w:t>
            </w:r>
            <w:r>
              <w:rPr>
                <w:rFonts w:hint="eastAsia" w:ascii="仿宋_GB2312" w:hAnsi="仿宋_GB2312" w:eastAsia="仿宋_GB2312" w:cs="仿宋_GB2312"/>
                <w:i w:val="0"/>
                <w:iCs w:val="0"/>
                <w:color w:val="auto"/>
                <w:sz w:val="28"/>
                <w:szCs w:val="28"/>
                <w:lang w:val="en-US" w:eastAsia="zh-CN"/>
              </w:rPr>
              <w:t>2</w:t>
            </w:r>
            <w:r>
              <w:rPr>
                <w:rFonts w:hint="eastAsia" w:hAnsi="仿宋_GB2312" w:cs="仿宋_GB2312"/>
                <w:i w:val="0"/>
                <w:iCs w:val="0"/>
                <w:color w:val="auto"/>
                <w:sz w:val="28"/>
                <w:szCs w:val="28"/>
                <w:lang w:val="en-US" w:eastAsia="zh-CN"/>
              </w:rPr>
              <w:t>3</w:t>
            </w:r>
            <w:r>
              <w:rPr>
                <w:rFonts w:hint="eastAsia" w:ascii="仿宋_GB2312" w:hAnsi="仿宋_GB2312" w:eastAsia="仿宋_GB2312" w:cs="仿宋_GB2312"/>
                <w:i w:val="0"/>
                <w:iCs w:val="0"/>
                <w:color w:val="auto"/>
                <w:sz w:val="28"/>
                <w:szCs w:val="28"/>
              </w:rPr>
              <w:t>年</w:t>
            </w:r>
            <w:r>
              <w:rPr>
                <w:rFonts w:hint="eastAsia" w:hAnsi="仿宋_GB2312" w:cs="仿宋_GB2312"/>
                <w:i w:val="0"/>
                <w:iCs w:val="0"/>
                <w:color w:val="auto"/>
                <w:sz w:val="28"/>
                <w:szCs w:val="28"/>
                <w:lang w:val="en-US" w:eastAsia="zh-CN"/>
              </w:rPr>
              <w:t>1</w:t>
            </w:r>
            <w:r>
              <w:rPr>
                <w:rFonts w:hint="eastAsia" w:ascii="仿宋_GB2312" w:hAnsi="仿宋_GB2312" w:eastAsia="仿宋_GB2312" w:cs="仿宋_GB2312"/>
                <w:i w:val="0"/>
                <w:iCs w:val="0"/>
                <w:color w:val="auto"/>
                <w:sz w:val="28"/>
                <w:szCs w:val="28"/>
              </w:rPr>
              <w:t>月</w:t>
            </w:r>
            <w:r>
              <w:rPr>
                <w:rFonts w:hint="eastAsia" w:ascii="仿宋_GB2312" w:hAnsi="仿宋_GB2312" w:eastAsia="仿宋_GB2312" w:cs="仿宋_GB2312"/>
                <w:i w:val="0"/>
                <w:iCs w:val="0"/>
                <w:color w:val="auto"/>
                <w:sz w:val="28"/>
                <w:szCs w:val="28"/>
                <w:lang w:val="en-US" w:eastAsia="zh-CN"/>
              </w:rPr>
              <w:t xml:space="preserve"> </w:t>
            </w:r>
            <w:r>
              <w:rPr>
                <w:rFonts w:hint="eastAsia" w:hAnsi="仿宋_GB2312" w:cs="仿宋_GB2312"/>
                <w:i w:val="0"/>
                <w:iCs w:val="0"/>
                <w:color w:val="auto"/>
                <w:sz w:val="28"/>
                <w:szCs w:val="28"/>
                <w:lang w:val="en-US" w:eastAsia="zh-CN"/>
              </w:rPr>
              <w:t>6</w:t>
            </w:r>
            <w:r>
              <w:rPr>
                <w:rFonts w:hint="eastAsia" w:ascii="仿宋_GB2312" w:hAnsi="仿宋_GB2312" w:eastAsia="仿宋_GB2312" w:cs="仿宋_GB2312"/>
                <w:i w:val="0"/>
                <w:iCs w:val="0"/>
                <w:color w:val="auto"/>
                <w:sz w:val="28"/>
                <w:szCs w:val="28"/>
              </w:rPr>
              <w:t>日印发</w:t>
            </w:r>
          </w:p>
        </w:tc>
      </w:tr>
      <w:tr>
        <w:tblPrEx>
          <w:tblBorders>
            <w:top w:val="single" w:color="000000" w:sz="8" w:space="0"/>
            <w:left w:val="none" w:color="auto" w:sz="0" w:space="0"/>
            <w:bottom w:val="none" w:color="auto" w:sz="0" w:space="0"/>
            <w:right w:val="none" w:color="auto" w:sz="0" w:space="0"/>
            <w:insideH w:val="single" w:color="000000" w:sz="8" w:space="0"/>
            <w:insideV w:val="none" w:color="auto" w:sz="0" w:space="0"/>
          </w:tblBorders>
        </w:tblPrEx>
        <w:tc>
          <w:tcPr>
            <w:tcW w:w="8844" w:type="dxa"/>
            <w:gridSpan w:val="2"/>
            <w:tcBorders>
              <w:top w:val="single" w:color="000000" w:sz="8" w:space="0"/>
            </w:tcBorders>
            <w:noWrap w:val="0"/>
            <w:vAlign w:val="top"/>
          </w:tcPr>
          <w:p>
            <w:pPr>
              <w:keepNext w:val="0"/>
              <w:keepLines w:val="0"/>
              <w:pageBreakBefore w:val="0"/>
              <w:widowControl w:val="0"/>
              <w:kinsoku/>
              <w:wordWrap/>
              <w:overflowPunct/>
              <w:topLinePunct w:val="0"/>
              <w:bidi w:val="0"/>
              <w:spacing w:line="560" w:lineRule="exact"/>
              <w:ind w:left="316" w:leftChars="100" w:right="948" w:rightChars="300"/>
              <w:jc w:val="right"/>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lang w:val="en-US" w:eastAsia="zh-CN"/>
              </w:rPr>
              <w:t xml:space="preserve"> </w:t>
            </w:r>
            <w:r>
              <w:rPr>
                <w:rFonts w:hint="eastAsia" w:hAnsi="仿宋_GB2312" w:cs="仿宋_GB2312"/>
                <w:i w:val="0"/>
                <w:iCs w:val="0"/>
                <w:color w:val="auto"/>
                <w:sz w:val="28"/>
                <w:szCs w:val="28"/>
                <w:lang w:val="en-US" w:eastAsia="zh-CN"/>
              </w:rPr>
              <w:t xml:space="preserve">      </w:t>
            </w:r>
            <w:r>
              <w:rPr>
                <w:rFonts w:hint="eastAsia" w:ascii="仿宋_GB2312" w:hAnsi="仿宋_GB2312" w:eastAsia="仿宋_GB2312" w:cs="仿宋_GB2312"/>
                <w:i w:val="0"/>
                <w:iCs w:val="0"/>
                <w:color w:val="auto"/>
                <w:sz w:val="28"/>
                <w:szCs w:val="28"/>
                <w:lang w:val="en-US" w:eastAsia="zh-CN"/>
              </w:rPr>
              <w:t xml:space="preserve"> </w:t>
            </w:r>
            <w:r>
              <w:rPr>
                <w:rFonts w:hint="eastAsia" w:ascii="仿宋_GB2312" w:hAnsi="仿宋_GB2312" w:eastAsia="仿宋_GB2312" w:cs="仿宋_GB2312"/>
                <w:i w:val="0"/>
                <w:iCs w:val="0"/>
                <w:color w:val="auto"/>
                <w:sz w:val="28"/>
                <w:szCs w:val="28"/>
              </w:rPr>
              <w:t>共印</w:t>
            </w:r>
            <w:r>
              <w:rPr>
                <w:rFonts w:hint="eastAsia" w:hAnsi="仿宋_GB2312" w:cs="仿宋_GB2312"/>
                <w:i w:val="0"/>
                <w:iCs w:val="0"/>
                <w:color w:val="auto"/>
                <w:sz w:val="28"/>
                <w:szCs w:val="28"/>
                <w:lang w:val="en-US" w:eastAsia="zh-CN"/>
              </w:rPr>
              <w:t>18</w:t>
            </w:r>
            <w:r>
              <w:rPr>
                <w:rFonts w:hint="eastAsia" w:ascii="仿宋_GB2312" w:hAnsi="仿宋_GB2312" w:eastAsia="仿宋_GB2312" w:cs="仿宋_GB2312"/>
                <w:i w:val="0"/>
                <w:iCs w:val="0"/>
                <w:color w:val="auto"/>
                <w:sz w:val="28"/>
                <w:szCs w:val="28"/>
              </w:rPr>
              <w:t>份</w:t>
            </w:r>
          </w:p>
        </w:tc>
      </w:tr>
    </w:tbl>
    <w:p>
      <w:pPr>
        <w:pStyle w:val="3"/>
        <w:keepNext w:val="0"/>
        <w:keepLines w:val="0"/>
        <w:pageBreakBefore w:val="0"/>
        <w:widowControl w:val="0"/>
        <w:kinsoku/>
        <w:wordWrap/>
        <w:overflowPunct/>
        <w:topLinePunct w:val="0"/>
        <w:autoSpaceDE w:val="0"/>
        <w:autoSpaceDN w:val="0"/>
        <w:bidi w:val="0"/>
        <w:adjustRightInd w:val="0"/>
        <w:snapToGrid w:val="0"/>
        <w:spacing w:before="1" w:line="560" w:lineRule="exact"/>
        <w:jc w:val="both"/>
        <w:textAlignment w:val="auto"/>
        <w:rPr>
          <w:rFonts w:hint="eastAsia" w:ascii="仿宋_GB2312" w:eastAsia="仿宋_GB2312"/>
        </w:rPr>
      </w:pPr>
    </w:p>
    <w:p>
      <w:pPr>
        <w:pStyle w:val="3"/>
        <w:keepNext w:val="0"/>
        <w:keepLines w:val="0"/>
        <w:pageBreakBefore w:val="0"/>
        <w:widowControl w:val="0"/>
        <w:kinsoku/>
        <w:wordWrap/>
        <w:overflowPunct/>
        <w:topLinePunct w:val="0"/>
        <w:autoSpaceDE w:val="0"/>
        <w:autoSpaceDN w:val="0"/>
        <w:bidi w:val="0"/>
        <w:adjustRightInd w:val="0"/>
        <w:snapToGrid w:val="0"/>
        <w:spacing w:before="1" w:line="560" w:lineRule="exact"/>
        <w:jc w:val="both"/>
        <w:textAlignment w:val="auto"/>
        <w:rPr>
          <w:rFonts w:hint="eastAsia" w:ascii="仿宋_GB2312" w:eastAsia="仿宋_GB2312"/>
        </w:rPr>
      </w:pPr>
    </w:p>
    <w:p>
      <w:pPr>
        <w:pStyle w:val="3"/>
        <w:keepNext w:val="0"/>
        <w:keepLines w:val="0"/>
        <w:pageBreakBefore w:val="0"/>
        <w:widowControl w:val="0"/>
        <w:kinsoku/>
        <w:wordWrap/>
        <w:overflowPunct/>
        <w:topLinePunct w:val="0"/>
        <w:autoSpaceDE w:val="0"/>
        <w:autoSpaceDN w:val="0"/>
        <w:bidi w:val="0"/>
        <w:adjustRightInd w:val="0"/>
        <w:snapToGrid w:val="0"/>
        <w:spacing w:before="1" w:line="560" w:lineRule="exact"/>
        <w:jc w:val="both"/>
        <w:textAlignment w:val="auto"/>
        <w:rPr>
          <w:rFonts w:hint="eastAsia" w:ascii="仿宋_GB2312" w:eastAsia="仿宋_GB2312"/>
        </w:rPr>
      </w:pPr>
    </w:p>
    <w:p>
      <w:pPr>
        <w:pStyle w:val="3"/>
        <w:keepNext w:val="0"/>
        <w:keepLines w:val="0"/>
        <w:pageBreakBefore w:val="0"/>
        <w:widowControl w:val="0"/>
        <w:kinsoku/>
        <w:wordWrap/>
        <w:overflowPunct/>
        <w:topLinePunct w:val="0"/>
        <w:autoSpaceDE w:val="0"/>
        <w:autoSpaceDN w:val="0"/>
        <w:bidi w:val="0"/>
        <w:adjustRightInd w:val="0"/>
        <w:snapToGrid w:val="0"/>
        <w:spacing w:before="1" w:line="560" w:lineRule="exact"/>
        <w:jc w:val="both"/>
        <w:textAlignment w:val="auto"/>
        <w:rPr>
          <w:rFonts w:hint="eastAsia" w:ascii="仿宋_GB2312" w:eastAsia="仿宋_GB2312"/>
        </w:rPr>
      </w:pPr>
    </w:p>
    <w:p>
      <w:pPr>
        <w:pStyle w:val="3"/>
        <w:keepNext w:val="0"/>
        <w:keepLines w:val="0"/>
        <w:pageBreakBefore w:val="0"/>
        <w:widowControl w:val="0"/>
        <w:kinsoku/>
        <w:wordWrap/>
        <w:overflowPunct/>
        <w:topLinePunct w:val="0"/>
        <w:autoSpaceDE w:val="0"/>
        <w:autoSpaceDN w:val="0"/>
        <w:bidi w:val="0"/>
        <w:adjustRightInd w:val="0"/>
        <w:snapToGrid w:val="0"/>
        <w:spacing w:before="1" w:line="560" w:lineRule="exact"/>
        <w:jc w:val="both"/>
        <w:textAlignment w:val="auto"/>
        <w:rPr>
          <w:rFonts w:hint="eastAsia" w:ascii="仿宋_GB2312" w:eastAsia="仿宋_GB2312"/>
        </w:rPr>
      </w:pPr>
      <w:r>
        <w:rPr>
          <w:rFonts w:hint="eastAsia" w:ascii="仿宋_GB2312" w:eastAsia="仿宋_GB2312"/>
        </w:rPr>
        <w:t>贵州省财政厅</w:t>
      </w:r>
      <w:r>
        <w:rPr>
          <w:rFonts w:hint="eastAsia" w:ascii="仿宋_GB2312" w:eastAsia="仿宋_GB2312"/>
          <w:lang w:val="en-US" w:eastAsia="zh-CN"/>
        </w:rPr>
        <w:t xml:space="preserve">     贵州省乡村振兴局     </w:t>
      </w:r>
      <w:r>
        <w:rPr>
          <w:rFonts w:hint="eastAsia" w:ascii="仿宋_GB2312" w:eastAsia="仿宋_GB2312"/>
        </w:rPr>
        <w:t>贵州省农业农村厅</w:t>
      </w:r>
      <w:r>
        <w:rPr>
          <w:rFonts w:hint="eastAsia" w:ascii="仿宋_GB2312" w:eastAsia="仿宋_GB2312"/>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val="0"/>
        <w:snapToGrid w:val="0"/>
        <w:spacing w:before="1" w:line="560" w:lineRule="exact"/>
        <w:ind w:firstLine="6320" w:firstLineChars="2000"/>
        <w:textAlignment w:val="auto"/>
        <w:rPr>
          <w:rFonts w:hint="eastAsia" w:ascii="仿宋_GB2312" w:eastAsia="仿宋_GB2312"/>
        </w:rPr>
      </w:pPr>
      <w:r>
        <w:rPr>
          <w:rFonts w:hint="eastAsia" w:ascii="仿宋_GB2312" w:eastAsia="仿宋_GB2312"/>
        </w:rPr>
        <w:t>20</w:t>
      </w:r>
      <w:r>
        <w:rPr>
          <w:rFonts w:hint="eastAsia" w:ascii="仿宋_GB2312" w:eastAsia="仿宋_GB2312"/>
          <w:lang w:val="en-US" w:eastAsia="zh-CN"/>
        </w:rPr>
        <w:t>23</w:t>
      </w:r>
      <w:r>
        <w:rPr>
          <w:rFonts w:hint="eastAsia" w:ascii="仿宋_GB2312" w:eastAsia="仿宋_GB2312"/>
        </w:rPr>
        <w:t>年</w:t>
      </w:r>
      <w:r>
        <w:rPr>
          <w:rFonts w:hint="eastAsia" w:ascii="仿宋_GB2312" w:eastAsia="仿宋_GB2312"/>
          <w:lang w:val="en-US" w:eastAsia="zh-CN"/>
        </w:rPr>
        <w:t>1</w:t>
      </w:r>
      <w:r>
        <w:rPr>
          <w:rFonts w:hint="eastAsia" w:ascii="仿宋_GB2312" w:eastAsia="仿宋_GB2312"/>
        </w:rPr>
        <w:t>月</w:t>
      </w:r>
      <w:r>
        <w:rPr>
          <w:rFonts w:hint="eastAsia" w:ascii="仿宋_GB2312" w:eastAsia="仿宋_GB2312"/>
          <w:lang w:val="en-US" w:eastAsia="zh-CN"/>
        </w:rPr>
        <w:t>3</w:t>
      </w:r>
      <w:r>
        <w:rPr>
          <w:rFonts w:hint="eastAsia" w:ascii="仿宋_GB2312" w:eastAsia="仿宋_GB2312"/>
        </w:rPr>
        <w:t>日</w:t>
      </w:r>
    </w:p>
    <w:p>
      <w:pPr>
        <w:keepNext w:val="0"/>
        <w:keepLines w:val="0"/>
        <w:pageBreakBefore w:val="0"/>
        <w:widowControl w:val="0"/>
        <w:kinsoku/>
        <w:wordWrap/>
        <w:overflowPunct/>
        <w:topLinePunct w:val="0"/>
        <w:bidi w:val="0"/>
        <w:spacing w:line="580" w:lineRule="exact"/>
        <w:textAlignment w:val="auto"/>
      </w:pPr>
    </w:p>
    <w:sectPr>
      <w:footerReference r:id="rId3" w:type="default"/>
      <w:footerReference r:id="rId4" w:type="even"/>
      <w:pgSz w:w="11906" w:h="16838"/>
      <w:pgMar w:top="1928" w:right="1474" w:bottom="1928" w:left="1588" w:header="851" w:footer="1474" w:gutter="0"/>
      <w:cols w:space="720"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20" w:leftChars="100" w:right="320" w:rightChars="1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20" w:leftChars="100" w:right="320" w:rightChars="10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E00C1"/>
    <w:rsid w:val="004A3FBF"/>
    <w:rsid w:val="009C4D04"/>
    <w:rsid w:val="00A96A7D"/>
    <w:rsid w:val="0193646F"/>
    <w:rsid w:val="02660513"/>
    <w:rsid w:val="029E6D90"/>
    <w:rsid w:val="02B72E65"/>
    <w:rsid w:val="030E00C1"/>
    <w:rsid w:val="032867AF"/>
    <w:rsid w:val="042357F4"/>
    <w:rsid w:val="051F0FB2"/>
    <w:rsid w:val="065F5491"/>
    <w:rsid w:val="06CB4B75"/>
    <w:rsid w:val="06ED7964"/>
    <w:rsid w:val="07373F2B"/>
    <w:rsid w:val="0831432E"/>
    <w:rsid w:val="08643AA0"/>
    <w:rsid w:val="08994A81"/>
    <w:rsid w:val="089C7D27"/>
    <w:rsid w:val="08B51250"/>
    <w:rsid w:val="08E53EDC"/>
    <w:rsid w:val="08F94832"/>
    <w:rsid w:val="09213CDA"/>
    <w:rsid w:val="093E1AF1"/>
    <w:rsid w:val="09515A0F"/>
    <w:rsid w:val="096F5AA1"/>
    <w:rsid w:val="09DF1554"/>
    <w:rsid w:val="0A7F5740"/>
    <w:rsid w:val="0CA32E59"/>
    <w:rsid w:val="0CA9719E"/>
    <w:rsid w:val="0D167CBA"/>
    <w:rsid w:val="0D292685"/>
    <w:rsid w:val="0D8E0C62"/>
    <w:rsid w:val="0DFD3B30"/>
    <w:rsid w:val="0EB30B9E"/>
    <w:rsid w:val="0ED2344E"/>
    <w:rsid w:val="0FC94850"/>
    <w:rsid w:val="1052747C"/>
    <w:rsid w:val="10604FFC"/>
    <w:rsid w:val="10B6139B"/>
    <w:rsid w:val="11880CB6"/>
    <w:rsid w:val="11CD11DF"/>
    <w:rsid w:val="11EC050B"/>
    <w:rsid w:val="121432B3"/>
    <w:rsid w:val="125F60C9"/>
    <w:rsid w:val="13BA7D57"/>
    <w:rsid w:val="146A5D31"/>
    <w:rsid w:val="14A6777E"/>
    <w:rsid w:val="14DA4446"/>
    <w:rsid w:val="15C43203"/>
    <w:rsid w:val="17465017"/>
    <w:rsid w:val="17C051AB"/>
    <w:rsid w:val="18623969"/>
    <w:rsid w:val="18C61123"/>
    <w:rsid w:val="197A5CDF"/>
    <w:rsid w:val="1A1F2BAE"/>
    <w:rsid w:val="1AE15696"/>
    <w:rsid w:val="1B026AC2"/>
    <w:rsid w:val="1B504C66"/>
    <w:rsid w:val="1B743BF3"/>
    <w:rsid w:val="1B7921A3"/>
    <w:rsid w:val="1BCB78E6"/>
    <w:rsid w:val="1BD532CD"/>
    <w:rsid w:val="1BDE4414"/>
    <w:rsid w:val="1BE25AD7"/>
    <w:rsid w:val="1C5C5BC9"/>
    <w:rsid w:val="1C865D84"/>
    <w:rsid w:val="1D195C56"/>
    <w:rsid w:val="1DF3445C"/>
    <w:rsid w:val="1E093BEA"/>
    <w:rsid w:val="1E5B6923"/>
    <w:rsid w:val="1EB3536B"/>
    <w:rsid w:val="1F144BA4"/>
    <w:rsid w:val="1F1F7F7F"/>
    <w:rsid w:val="1F4B2D96"/>
    <w:rsid w:val="1F627691"/>
    <w:rsid w:val="20997185"/>
    <w:rsid w:val="20B21FD6"/>
    <w:rsid w:val="20CB3784"/>
    <w:rsid w:val="20E066E6"/>
    <w:rsid w:val="21185E7A"/>
    <w:rsid w:val="21757375"/>
    <w:rsid w:val="21CF0809"/>
    <w:rsid w:val="21F93535"/>
    <w:rsid w:val="222C51DF"/>
    <w:rsid w:val="223E6E77"/>
    <w:rsid w:val="22520BB4"/>
    <w:rsid w:val="226D2125"/>
    <w:rsid w:val="22870FAA"/>
    <w:rsid w:val="22996590"/>
    <w:rsid w:val="22B34953"/>
    <w:rsid w:val="22CE1801"/>
    <w:rsid w:val="230168FA"/>
    <w:rsid w:val="233C0EEF"/>
    <w:rsid w:val="235E0D83"/>
    <w:rsid w:val="23B31525"/>
    <w:rsid w:val="23D61DB1"/>
    <w:rsid w:val="248E4B6F"/>
    <w:rsid w:val="251A36DA"/>
    <w:rsid w:val="257A600A"/>
    <w:rsid w:val="26423C92"/>
    <w:rsid w:val="26687AF3"/>
    <w:rsid w:val="26F66BE8"/>
    <w:rsid w:val="270C5577"/>
    <w:rsid w:val="271863C1"/>
    <w:rsid w:val="27934ADD"/>
    <w:rsid w:val="279E680D"/>
    <w:rsid w:val="27DF189D"/>
    <w:rsid w:val="27ED4269"/>
    <w:rsid w:val="27F3524E"/>
    <w:rsid w:val="27FB3FB6"/>
    <w:rsid w:val="280D2679"/>
    <w:rsid w:val="289831DB"/>
    <w:rsid w:val="29235CA9"/>
    <w:rsid w:val="293014B5"/>
    <w:rsid w:val="297F2F23"/>
    <w:rsid w:val="29A36EAA"/>
    <w:rsid w:val="29D35E47"/>
    <w:rsid w:val="2A3F54F3"/>
    <w:rsid w:val="2A644A18"/>
    <w:rsid w:val="2A797E62"/>
    <w:rsid w:val="2A866252"/>
    <w:rsid w:val="2AD13B27"/>
    <w:rsid w:val="2AFD28F2"/>
    <w:rsid w:val="2B3849EB"/>
    <w:rsid w:val="2BE53426"/>
    <w:rsid w:val="2C563A36"/>
    <w:rsid w:val="2C8914ED"/>
    <w:rsid w:val="2CB27684"/>
    <w:rsid w:val="2CCD2D69"/>
    <w:rsid w:val="2CCE39A7"/>
    <w:rsid w:val="2D046558"/>
    <w:rsid w:val="2D3D5100"/>
    <w:rsid w:val="2DBD27E8"/>
    <w:rsid w:val="2DCF56EF"/>
    <w:rsid w:val="2DD50A4A"/>
    <w:rsid w:val="2E460025"/>
    <w:rsid w:val="2E4A3973"/>
    <w:rsid w:val="2EE55BBF"/>
    <w:rsid w:val="2F367233"/>
    <w:rsid w:val="2F524B47"/>
    <w:rsid w:val="2F594726"/>
    <w:rsid w:val="2F804FAA"/>
    <w:rsid w:val="2FFF22E9"/>
    <w:rsid w:val="3043452D"/>
    <w:rsid w:val="312827E0"/>
    <w:rsid w:val="318C361C"/>
    <w:rsid w:val="31B825C8"/>
    <w:rsid w:val="31BB3E96"/>
    <w:rsid w:val="31BF6F2E"/>
    <w:rsid w:val="32092BC2"/>
    <w:rsid w:val="322B2DA9"/>
    <w:rsid w:val="32416E9A"/>
    <w:rsid w:val="329D05BC"/>
    <w:rsid w:val="333578E8"/>
    <w:rsid w:val="333F1172"/>
    <w:rsid w:val="334C0803"/>
    <w:rsid w:val="33A478B3"/>
    <w:rsid w:val="33CE1D48"/>
    <w:rsid w:val="342E0369"/>
    <w:rsid w:val="34474884"/>
    <w:rsid w:val="34B07DDC"/>
    <w:rsid w:val="35085150"/>
    <w:rsid w:val="35970C1E"/>
    <w:rsid w:val="359E57A6"/>
    <w:rsid w:val="35EE5DB1"/>
    <w:rsid w:val="36A053EC"/>
    <w:rsid w:val="37465C10"/>
    <w:rsid w:val="395072FC"/>
    <w:rsid w:val="39FC3706"/>
    <w:rsid w:val="3A375056"/>
    <w:rsid w:val="3A4F57BB"/>
    <w:rsid w:val="3B69500A"/>
    <w:rsid w:val="3C1B23AB"/>
    <w:rsid w:val="3C372CE5"/>
    <w:rsid w:val="3C5701EA"/>
    <w:rsid w:val="3CF36C2F"/>
    <w:rsid w:val="3FD528AC"/>
    <w:rsid w:val="40243382"/>
    <w:rsid w:val="40740F4B"/>
    <w:rsid w:val="40AE0621"/>
    <w:rsid w:val="40B1790A"/>
    <w:rsid w:val="410E5E40"/>
    <w:rsid w:val="41AC0E0F"/>
    <w:rsid w:val="41C5163D"/>
    <w:rsid w:val="420F0B52"/>
    <w:rsid w:val="42207BE5"/>
    <w:rsid w:val="423C00CA"/>
    <w:rsid w:val="42AD5055"/>
    <w:rsid w:val="42BB5692"/>
    <w:rsid w:val="42D115A3"/>
    <w:rsid w:val="43BD510A"/>
    <w:rsid w:val="43E602D5"/>
    <w:rsid w:val="43F8309F"/>
    <w:rsid w:val="43F91B91"/>
    <w:rsid w:val="44231486"/>
    <w:rsid w:val="443E0FC4"/>
    <w:rsid w:val="4473624D"/>
    <w:rsid w:val="449E0EC5"/>
    <w:rsid w:val="44AF33CC"/>
    <w:rsid w:val="44E65251"/>
    <w:rsid w:val="458215F3"/>
    <w:rsid w:val="45E43429"/>
    <w:rsid w:val="467C646F"/>
    <w:rsid w:val="475F54AD"/>
    <w:rsid w:val="4765139C"/>
    <w:rsid w:val="47726383"/>
    <w:rsid w:val="477D65FF"/>
    <w:rsid w:val="479315AA"/>
    <w:rsid w:val="47951EAB"/>
    <w:rsid w:val="47C82EA7"/>
    <w:rsid w:val="480E6EFD"/>
    <w:rsid w:val="48E4062F"/>
    <w:rsid w:val="494C063E"/>
    <w:rsid w:val="496A64A7"/>
    <w:rsid w:val="4A710D3B"/>
    <w:rsid w:val="4A711330"/>
    <w:rsid w:val="4AC9584E"/>
    <w:rsid w:val="4AFD0C8D"/>
    <w:rsid w:val="4B3B3D13"/>
    <w:rsid w:val="4B41550B"/>
    <w:rsid w:val="4B89365B"/>
    <w:rsid w:val="4BC245F1"/>
    <w:rsid w:val="4BD725C1"/>
    <w:rsid w:val="4C0F5DAD"/>
    <w:rsid w:val="4C3F79AE"/>
    <w:rsid w:val="4D3707FE"/>
    <w:rsid w:val="4DBF760D"/>
    <w:rsid w:val="4EB03A8C"/>
    <w:rsid w:val="4F3B6C38"/>
    <w:rsid w:val="4F3E0C65"/>
    <w:rsid w:val="4F507A19"/>
    <w:rsid w:val="4FB03728"/>
    <w:rsid w:val="4FB3294C"/>
    <w:rsid w:val="4FE52F23"/>
    <w:rsid w:val="501B304D"/>
    <w:rsid w:val="50B125B9"/>
    <w:rsid w:val="513F30CF"/>
    <w:rsid w:val="51577B11"/>
    <w:rsid w:val="518A5C7D"/>
    <w:rsid w:val="52177CE6"/>
    <w:rsid w:val="5249243E"/>
    <w:rsid w:val="52642F75"/>
    <w:rsid w:val="527D4603"/>
    <w:rsid w:val="52A07C94"/>
    <w:rsid w:val="531055FB"/>
    <w:rsid w:val="533B13A3"/>
    <w:rsid w:val="5380595A"/>
    <w:rsid w:val="53C06984"/>
    <w:rsid w:val="542D21E2"/>
    <w:rsid w:val="54832949"/>
    <w:rsid w:val="54AD69B0"/>
    <w:rsid w:val="54E96EEA"/>
    <w:rsid w:val="551B608E"/>
    <w:rsid w:val="55AA7FF6"/>
    <w:rsid w:val="566607C5"/>
    <w:rsid w:val="56D35111"/>
    <w:rsid w:val="571E2BA9"/>
    <w:rsid w:val="572A0300"/>
    <w:rsid w:val="5759532B"/>
    <w:rsid w:val="584D4E34"/>
    <w:rsid w:val="58743DA5"/>
    <w:rsid w:val="58CE153E"/>
    <w:rsid w:val="59504012"/>
    <w:rsid w:val="59A9062F"/>
    <w:rsid w:val="5A793141"/>
    <w:rsid w:val="5B3B4A65"/>
    <w:rsid w:val="5BC50595"/>
    <w:rsid w:val="5BEF42D0"/>
    <w:rsid w:val="5C6B2A69"/>
    <w:rsid w:val="5C90246E"/>
    <w:rsid w:val="5CCB39FB"/>
    <w:rsid w:val="5CCD56F4"/>
    <w:rsid w:val="5CFF4564"/>
    <w:rsid w:val="5D4E4B6C"/>
    <w:rsid w:val="5DCC30DF"/>
    <w:rsid w:val="5E3146EB"/>
    <w:rsid w:val="5E320B05"/>
    <w:rsid w:val="5E4D6FD4"/>
    <w:rsid w:val="5E83664A"/>
    <w:rsid w:val="5F60745C"/>
    <w:rsid w:val="5FA57FE3"/>
    <w:rsid w:val="5FAE518C"/>
    <w:rsid w:val="5FBD2849"/>
    <w:rsid w:val="5FD71D13"/>
    <w:rsid w:val="5FE10125"/>
    <w:rsid w:val="600A6CAB"/>
    <w:rsid w:val="61182BA1"/>
    <w:rsid w:val="614C0061"/>
    <w:rsid w:val="614E4C10"/>
    <w:rsid w:val="61FD554A"/>
    <w:rsid w:val="620F3196"/>
    <w:rsid w:val="62907425"/>
    <w:rsid w:val="630A0FA5"/>
    <w:rsid w:val="63143818"/>
    <w:rsid w:val="6401666A"/>
    <w:rsid w:val="64120223"/>
    <w:rsid w:val="64351EC2"/>
    <w:rsid w:val="64354C2C"/>
    <w:rsid w:val="6443477C"/>
    <w:rsid w:val="64530865"/>
    <w:rsid w:val="64CB252C"/>
    <w:rsid w:val="65105E86"/>
    <w:rsid w:val="65D631FA"/>
    <w:rsid w:val="660950FB"/>
    <w:rsid w:val="671F017A"/>
    <w:rsid w:val="67834283"/>
    <w:rsid w:val="67A70B85"/>
    <w:rsid w:val="67E530D7"/>
    <w:rsid w:val="67F606CA"/>
    <w:rsid w:val="680C5375"/>
    <w:rsid w:val="692B1258"/>
    <w:rsid w:val="69D37B24"/>
    <w:rsid w:val="6A245B64"/>
    <w:rsid w:val="6A432CAD"/>
    <w:rsid w:val="6A5D0021"/>
    <w:rsid w:val="6A8B6206"/>
    <w:rsid w:val="6AAB7AF7"/>
    <w:rsid w:val="6BB83F42"/>
    <w:rsid w:val="6BBA7A61"/>
    <w:rsid w:val="6C19054B"/>
    <w:rsid w:val="6C1C3104"/>
    <w:rsid w:val="6D246434"/>
    <w:rsid w:val="6DD501D0"/>
    <w:rsid w:val="6DFB6D9D"/>
    <w:rsid w:val="6E146CF1"/>
    <w:rsid w:val="6E1A4225"/>
    <w:rsid w:val="6EFB4FCD"/>
    <w:rsid w:val="6F302CFD"/>
    <w:rsid w:val="6F5464DD"/>
    <w:rsid w:val="6F8300D0"/>
    <w:rsid w:val="6FFB47C4"/>
    <w:rsid w:val="71836C29"/>
    <w:rsid w:val="71C301DE"/>
    <w:rsid w:val="71C46D19"/>
    <w:rsid w:val="71CE5176"/>
    <w:rsid w:val="71DA7E43"/>
    <w:rsid w:val="71E20E40"/>
    <w:rsid w:val="725D5296"/>
    <w:rsid w:val="72B721BA"/>
    <w:rsid w:val="733B594E"/>
    <w:rsid w:val="73A13862"/>
    <w:rsid w:val="73B72A74"/>
    <w:rsid w:val="73FD4460"/>
    <w:rsid w:val="740B4E90"/>
    <w:rsid w:val="74452C99"/>
    <w:rsid w:val="745D3193"/>
    <w:rsid w:val="74B65B04"/>
    <w:rsid w:val="75127288"/>
    <w:rsid w:val="75824784"/>
    <w:rsid w:val="75B524E1"/>
    <w:rsid w:val="76236870"/>
    <w:rsid w:val="764E4FEF"/>
    <w:rsid w:val="7674386B"/>
    <w:rsid w:val="7682560B"/>
    <w:rsid w:val="773323F3"/>
    <w:rsid w:val="77862922"/>
    <w:rsid w:val="77B00AEC"/>
    <w:rsid w:val="77BA381A"/>
    <w:rsid w:val="782704D3"/>
    <w:rsid w:val="7879473C"/>
    <w:rsid w:val="79D76CE8"/>
    <w:rsid w:val="7A003893"/>
    <w:rsid w:val="7A2C5A1C"/>
    <w:rsid w:val="7AB73109"/>
    <w:rsid w:val="7B137B0A"/>
    <w:rsid w:val="7B884593"/>
    <w:rsid w:val="7B890318"/>
    <w:rsid w:val="7BB2437E"/>
    <w:rsid w:val="7BE30A11"/>
    <w:rsid w:val="7C352366"/>
    <w:rsid w:val="7C8B0462"/>
    <w:rsid w:val="7CC43900"/>
    <w:rsid w:val="7D575CD6"/>
    <w:rsid w:val="7D612D38"/>
    <w:rsid w:val="7D672606"/>
    <w:rsid w:val="7DB36FDA"/>
    <w:rsid w:val="7DF1696E"/>
    <w:rsid w:val="7DF6206D"/>
    <w:rsid w:val="7E1E2C5A"/>
    <w:rsid w:val="7E4C3D54"/>
    <w:rsid w:val="7E9C2E69"/>
    <w:rsid w:val="7EAE6224"/>
    <w:rsid w:val="7EF301BE"/>
    <w:rsid w:val="7FD91E8D"/>
    <w:rsid w:val="7FEA78BD"/>
    <w:rsid w:val="7FFB1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unhideWhenUsed/>
    <w:qFormat/>
    <w:uiPriority w:val="99"/>
    <w:pPr>
      <w:ind w:firstLine="420" w:firstLineChars="200"/>
    </w:pPr>
  </w:style>
  <w:style w:type="paragraph" w:styleId="3">
    <w:name w:val="Body Text"/>
    <w:basedOn w:val="1"/>
    <w:qFormat/>
    <w:uiPriority w:val="1"/>
    <w:rPr>
      <w:rFonts w:ascii="仿宋" w:hAnsi="仿宋" w:eastAsia="仿宋" w:cs="仿宋"/>
      <w:sz w:val="32"/>
      <w:szCs w:val="32"/>
      <w:lang w:val="zh-CN" w:eastAsia="zh-CN" w:bidi="zh-CN"/>
    </w:r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2022-06-14T08:37:00Z</dcterms:created>
  <dc:creator>李宗明</dc:creator>
  <cp:lastModifiedBy>Administrator</cp:lastModifiedBy>
  <dcterms:modified xsi:type="dcterms:W3CDTF">2023-01-31T03:21:53Z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F3980E0CB34C47369223E657DB1CEA15</vt:lpwstr>
  </property>
</Properties>
</file>