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spacing w:line="590" w:lineRule="exact"/>
        <w:jc w:val="both"/>
        <w:textAlignment w:val="auto"/>
        <w:rPr>
          <w:rFonts w:ascii="Times New Roman" w:hAnsi="Times New Roman" w:eastAsia="仿宋_GB2312" w:cs="Times New Roman"/>
          <w:b/>
          <w:bCs/>
          <w:kern w:val="2"/>
          <w:sz w:val="44"/>
          <w:szCs w:val="24"/>
          <w:lang w:val="en-US" w:eastAsia="zh-CN" w:bidi="ar-SA"/>
        </w:rPr>
      </w:pPr>
      <w:bookmarkStart w:id="2" w:name="_GoBack"/>
      <w:bookmarkEnd w:id="2"/>
      <w:bookmarkStart w:id="0" w:name="filename"/>
      <w:r>
        <w:rPr>
          <w:rFonts w:hint="eastAsia" w:ascii="仿宋_GB2312" w:hAnsi="Times New Roman" w:eastAsia="仿宋_GB2312" w:cs="Times New Roman"/>
          <w:color w:val="000000"/>
          <w:sz w:val="32"/>
          <w:szCs w:val="32"/>
        </w:rPr>
        <w:t>黔财</w:t>
      </w:r>
      <w:r>
        <w:rPr>
          <w:rFonts w:hint="eastAsia" w:ascii="仿宋_GB2312" w:hAnsi="Times New Roman" w:eastAsia="仿宋_GB2312" w:cs="Times New Roman"/>
          <w:color w:val="000000"/>
          <w:sz w:val="32"/>
          <w:szCs w:val="32"/>
          <w:lang w:val="en-US" w:eastAsia="zh-CN"/>
        </w:rPr>
        <w:t>社</w:t>
      </w:r>
      <w:r>
        <w:rPr>
          <w:rFonts w:hint="eastAsia" w:ascii="仿宋_GB2312" w:hAnsi="Times New Roman" w:eastAsia="仿宋_GB2312" w:cs="Times New Roman"/>
          <w:color w:val="000000"/>
          <w:sz w:val="32"/>
          <w:szCs w:val="32"/>
        </w:rPr>
        <w:t>〔20</w:t>
      </w:r>
      <w:r>
        <w:rPr>
          <w:rFonts w:hint="eastAsia" w:ascii="仿宋_GB2312" w:hAnsi="Times New Roman" w:eastAsia="仿宋_GB2312" w:cs="Times New Roman"/>
          <w:color w:val="000000"/>
          <w:sz w:val="32"/>
          <w:szCs w:val="32"/>
          <w:lang w:val="en-US" w:eastAsia="zh-CN"/>
        </w:rPr>
        <w:t>22</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125</w:t>
      </w:r>
      <w:r>
        <w:rPr>
          <w:rFonts w:hint="eastAsia" w:ascii="仿宋_GB2312" w:hAnsi="Times New Roman" w:eastAsia="仿宋_GB2312" w:cs="Times New Roman"/>
          <w:color w:val="000000"/>
          <w:sz w:val="32"/>
          <w:szCs w:val="32"/>
        </w:rPr>
        <w:t>号</w:t>
      </w:r>
    </w:p>
    <w:p>
      <w:pPr>
        <w:keepNext w:val="0"/>
        <w:keepLines w:val="0"/>
        <w:pageBreakBefore w:val="0"/>
        <w:kinsoku/>
        <w:overflowPunct/>
        <w:topLinePunct w:val="0"/>
        <w:autoSpaceDE/>
        <w:autoSpaceDN/>
        <w:bidi w:val="0"/>
        <w:adjustRightInd/>
        <w:snapToGrid/>
        <w:spacing w:line="590" w:lineRule="exact"/>
        <w:jc w:val="center"/>
        <w:textAlignment w:val="auto"/>
        <w:rPr>
          <w:rFonts w:ascii="Calibri" w:hAnsi="Calibri" w:eastAsia="宋体" w:cs="Times New Roman"/>
          <w:spacing w:val="-20"/>
          <w:sz w:val="32"/>
          <w:szCs w:val="32"/>
        </w:rPr>
      </w:pPr>
    </w:p>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省财政厅 省民政厅关于</w:t>
      </w:r>
      <w:r>
        <w:rPr>
          <w:rFonts w:hint="eastAsia" w:ascii="方正小标宋简体" w:hAnsi="方正小标宋简体" w:eastAsia="方正小标宋简体" w:cs="方正小标宋简体"/>
          <w:b w:val="0"/>
          <w:bCs/>
          <w:spacing w:val="0"/>
          <w:sz w:val="44"/>
          <w:szCs w:val="44"/>
          <w:lang w:val="en-US" w:eastAsia="zh-CN"/>
        </w:rPr>
        <w:t>印发《</w:t>
      </w:r>
      <w:r>
        <w:rPr>
          <w:rFonts w:hint="eastAsia" w:ascii="方正小标宋简体" w:hAnsi="方正小标宋简体" w:eastAsia="方正小标宋简体" w:cs="方正小标宋简体"/>
          <w:b w:val="0"/>
          <w:bCs/>
          <w:spacing w:val="0"/>
          <w:sz w:val="44"/>
          <w:szCs w:val="44"/>
        </w:rPr>
        <w:t>贵州省百岁老人生活</w:t>
      </w:r>
      <w:r>
        <w:rPr>
          <w:rFonts w:hint="eastAsia" w:ascii="方正小标宋简体" w:hAnsi="方正小标宋简体" w:eastAsia="方正小标宋简体" w:cs="方正小标宋简体"/>
          <w:b w:val="0"/>
          <w:bCs/>
          <w:spacing w:val="0"/>
          <w:sz w:val="44"/>
          <w:szCs w:val="44"/>
          <w:lang w:val="en-US" w:eastAsia="zh-CN"/>
        </w:rPr>
        <w:t>省级</w:t>
      </w:r>
      <w:r>
        <w:rPr>
          <w:rFonts w:hint="eastAsia" w:ascii="方正小标宋简体" w:hAnsi="方正小标宋简体" w:eastAsia="方正小标宋简体" w:cs="方正小标宋简体"/>
          <w:b w:val="0"/>
          <w:bCs/>
          <w:spacing w:val="0"/>
          <w:sz w:val="44"/>
          <w:szCs w:val="44"/>
        </w:rPr>
        <w:t>补助资金管理办法</w:t>
      </w:r>
      <w:r>
        <w:rPr>
          <w:rFonts w:hint="eastAsia" w:ascii="方正小标宋简体" w:hAnsi="方正小标宋简体" w:eastAsia="方正小标宋简体" w:cs="方正小标宋简体"/>
          <w:b w:val="0"/>
          <w:bCs/>
          <w:spacing w:val="0"/>
          <w:sz w:val="44"/>
          <w:szCs w:val="44"/>
          <w:lang w:eastAsia="zh-CN"/>
        </w:rPr>
        <w:t>》</w:t>
      </w:r>
      <w:r>
        <w:rPr>
          <w:rFonts w:hint="eastAsia" w:ascii="方正小标宋简体" w:hAnsi="方正小标宋简体" w:eastAsia="方正小标宋简体" w:cs="方正小标宋简体"/>
          <w:b w:val="0"/>
          <w:bCs/>
          <w:spacing w:val="0"/>
          <w:sz w:val="44"/>
          <w:szCs w:val="44"/>
        </w:rPr>
        <w:t>的通知</w:t>
      </w:r>
    </w:p>
    <w:p>
      <w:pPr>
        <w:keepNext w:val="0"/>
        <w:keepLines w:val="0"/>
        <w:pageBreakBefore w:val="0"/>
        <w:kinsoku/>
        <w:overflowPunct/>
        <w:topLinePunct w:val="0"/>
        <w:autoSpaceDE/>
        <w:autoSpaceDN/>
        <w:bidi w:val="0"/>
        <w:adjustRightInd/>
        <w:snapToGrid/>
        <w:spacing w:line="590" w:lineRule="exact"/>
        <w:jc w:val="center"/>
        <w:textAlignment w:val="auto"/>
        <w:rPr>
          <w:rFonts w:ascii="Calibri" w:hAnsi="Calibri" w:eastAsia="宋体" w:cs="Times New Roman"/>
          <w:sz w:val="44"/>
          <w:szCs w:val="22"/>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_GB2312" w:hAnsi="Calibri" w:eastAsia="仿宋_GB2312" w:cs="Times New Roman"/>
          <w:spacing w:val="-22"/>
          <w:sz w:val="32"/>
          <w:szCs w:val="32"/>
        </w:rPr>
      </w:pPr>
      <w:bookmarkStart w:id="1" w:name="zsbm"/>
      <w:r>
        <w:rPr>
          <w:rFonts w:hint="eastAsia" w:ascii="仿宋_GB2312" w:hAnsi="Calibri" w:eastAsia="仿宋_GB2312" w:cs="Times New Roman"/>
          <w:spacing w:val="-22"/>
          <w:sz w:val="32"/>
          <w:szCs w:val="32"/>
        </w:rPr>
        <w:t>各市（州）财政局、民政局</w:t>
      </w:r>
      <w:bookmarkEnd w:id="1"/>
      <w:r>
        <w:rPr>
          <w:rFonts w:hint="eastAsia" w:ascii="仿宋_GB2312" w:hAnsi="Calibri" w:eastAsia="仿宋_GB2312" w:cs="Times New Roman"/>
          <w:spacing w:val="-22"/>
          <w:sz w:val="32"/>
          <w:szCs w:val="32"/>
        </w:rPr>
        <w:t>：</w:t>
      </w:r>
    </w:p>
    <w:p>
      <w:pPr>
        <w:pStyle w:val="5"/>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kern w:val="2"/>
          <w:szCs w:val="32"/>
          <w:lang w:val="en-US" w:eastAsia="zh-CN" w:bidi="ar-SA"/>
        </w:rPr>
      </w:pPr>
      <w:r>
        <w:rPr>
          <w:rFonts w:hint="eastAsia" w:ascii="仿宋_GB2312" w:hAnsi="仿宋_GB2312" w:eastAsia="仿宋_GB2312" w:cs="仿宋_GB2312"/>
          <w:kern w:val="2"/>
          <w:sz w:val="32"/>
          <w:szCs w:val="32"/>
          <w:lang w:val="en-US" w:eastAsia="zh-CN" w:bidi="ar-SA"/>
        </w:rPr>
        <w:t>为进一步加强和规范百岁老人生活</w:t>
      </w:r>
      <w:r>
        <w:rPr>
          <w:rFonts w:hint="eastAsia" w:ascii="仿宋_GB2312" w:hAnsi="仿宋_GB2312" w:cs="仿宋_GB2312"/>
          <w:kern w:val="2"/>
          <w:sz w:val="32"/>
          <w:szCs w:val="32"/>
          <w:lang w:val="en-US" w:eastAsia="zh-CN" w:bidi="ar-SA"/>
        </w:rPr>
        <w:t>省级</w:t>
      </w:r>
      <w:r>
        <w:rPr>
          <w:rFonts w:hint="eastAsia" w:ascii="仿宋_GB2312" w:hAnsi="仿宋_GB2312" w:eastAsia="仿宋_GB2312" w:cs="仿宋_GB2312"/>
          <w:kern w:val="2"/>
          <w:sz w:val="32"/>
          <w:szCs w:val="32"/>
          <w:lang w:val="en-US" w:eastAsia="zh-CN" w:bidi="ar-SA"/>
        </w:rPr>
        <w:t>补助资金管理，提升资金使用效益，根据</w:t>
      </w:r>
      <w:r>
        <w:rPr>
          <w:rFonts w:hint="eastAsia" w:ascii="仿宋_GB2312" w:hAnsi="仿宋_GB2312" w:eastAsia="仿宋_GB2312" w:cs="仿宋_GB2312"/>
          <w:b w:val="0"/>
          <w:bCs w:val="0"/>
          <w:i w:val="0"/>
          <w:caps w:val="0"/>
          <w:color w:val="000000"/>
          <w:spacing w:val="0"/>
          <w:kern w:val="0"/>
          <w:sz w:val="32"/>
          <w:szCs w:val="32"/>
          <w:lang w:val="en-US" w:eastAsia="zh-CN" w:bidi="ar"/>
        </w:rPr>
        <w:t>《中华人民共和国预算法》《贵州省老年人权益保障条例》《贵州省养老服务条例》《中共贵州省委 贵州省人民政府关于全面实施预算绩效管理的实施意见》（黔党发〔2019〕29号）等有关规定，</w:t>
      </w:r>
      <w:r>
        <w:rPr>
          <w:rFonts w:hint="eastAsia" w:ascii="仿宋_GB2312"/>
          <w:kern w:val="2"/>
          <w:szCs w:val="32"/>
          <w:lang w:val="en-US" w:eastAsia="zh-CN" w:bidi="ar-SA"/>
        </w:rPr>
        <w:t>结合我省实际，修订了《贵州省百岁老人生活补助资金管理暂行办法》，现印发给你们，请遵照执行。</w:t>
      </w:r>
    </w:p>
    <w:p>
      <w:pPr>
        <w:pStyle w:val="5"/>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kern w:val="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附件：贵州省百岁老人生活省级补助资金管理办法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1280" w:firstLineChars="4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贵州省财政厅              贵州省民政厅</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both"/>
        <w:textAlignment w:val="auto"/>
        <w:rPr>
          <w:rFonts w:hint="eastAsia" w:ascii="黑体" w:hAnsi="黑体" w:eastAsia="黑体" w:cs="黑体"/>
          <w:b w:val="0"/>
          <w:bCs/>
          <w:sz w:val="32"/>
          <w:szCs w:val="32"/>
          <w:lang w:val="en-US" w:eastAsia="zh-CN"/>
        </w:rPr>
      </w:pP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lang w:val="en-US" w:eastAsia="zh-CN"/>
        </w:rPr>
        <w:t xml:space="preserve">   </w:t>
      </w:r>
      <w:r>
        <w:rPr>
          <w:rFonts w:ascii="仿宋_GB2312" w:hAnsi="宋体" w:eastAsia="仿宋_GB2312" w:cs="Times New Roman"/>
          <w:sz w:val="32"/>
          <w:szCs w:val="32"/>
        </w:rPr>
        <w:t>20</w:t>
      </w:r>
      <w:r>
        <w:rPr>
          <w:rFonts w:hint="eastAsia" w:ascii="仿宋_GB2312" w:hAnsi="宋体" w:eastAsia="仿宋_GB2312" w:cs="Times New Roman"/>
          <w:sz w:val="32"/>
          <w:szCs w:val="32"/>
          <w:lang w:val="en-US" w:eastAsia="zh-CN"/>
        </w:rPr>
        <w:t>22</w:t>
      </w:r>
      <w:r>
        <w:rPr>
          <w:rFonts w:ascii="仿宋_GB2312" w:hAnsi="宋体" w:eastAsia="仿宋_GB2312" w:cs="Times New Roman"/>
          <w:sz w:val="32"/>
          <w:szCs w:val="32"/>
        </w:rPr>
        <w:t>年</w:t>
      </w:r>
      <w:r>
        <w:rPr>
          <w:rFonts w:hint="eastAsia" w:ascii="仿宋_GB2312" w:hAnsi="宋体" w:eastAsia="仿宋_GB2312" w:cs="Times New Roman"/>
          <w:sz w:val="32"/>
          <w:szCs w:val="32"/>
          <w:lang w:val="en-US" w:eastAsia="zh-CN"/>
        </w:rPr>
        <w:t>10</w:t>
      </w:r>
      <w:r>
        <w:rPr>
          <w:rFonts w:ascii="仿宋_GB2312" w:hAnsi="宋体" w:eastAsia="仿宋_GB2312" w:cs="Times New Roman"/>
          <w:sz w:val="32"/>
          <w:szCs w:val="32"/>
        </w:rPr>
        <w:t>月</w:t>
      </w:r>
      <w:r>
        <w:rPr>
          <w:rFonts w:hint="eastAsia" w:ascii="仿宋_GB2312" w:hAnsi="宋体" w:eastAsia="仿宋_GB2312" w:cs="Times New Roman"/>
          <w:sz w:val="32"/>
          <w:szCs w:val="32"/>
          <w:lang w:val="en-US" w:eastAsia="zh-CN"/>
        </w:rPr>
        <w:t>10</w:t>
      </w:r>
      <w:r>
        <w:rPr>
          <w:rFonts w:ascii="仿宋_GB2312" w:hAnsi="宋体" w:eastAsia="仿宋_GB2312" w:cs="Times New Roman"/>
          <w:sz w:val="32"/>
          <w:szCs w:val="32"/>
        </w:rPr>
        <w:t>日</w:t>
      </w:r>
    </w:p>
    <w:p>
      <w:pPr>
        <w:keepNext w:val="0"/>
        <w:keepLines w:val="0"/>
        <w:pageBreakBefore w:val="0"/>
        <w:kinsoku/>
        <w:overflowPunct/>
        <w:topLinePunct w:val="0"/>
        <w:autoSpaceDE/>
        <w:autoSpaceDN/>
        <w:bidi w:val="0"/>
        <w:adjustRightInd/>
        <w:snapToGrid/>
        <w:spacing w:line="590" w:lineRule="exact"/>
        <w:jc w:val="both"/>
        <w:textAlignment w:val="auto"/>
        <w:rPr>
          <w:rFonts w:hint="eastAsia" w:ascii="黑体" w:hAnsi="黑体" w:eastAsia="黑体" w:cs="黑体"/>
          <w:b w:val="0"/>
          <w:bCs/>
          <w:sz w:val="32"/>
          <w:szCs w:val="32"/>
          <w:lang w:val="en-US" w:eastAsia="zh-CN"/>
        </w:rPr>
      </w:pPr>
    </w:p>
    <w:p>
      <w:pPr>
        <w:keepNext w:val="0"/>
        <w:keepLines w:val="0"/>
        <w:pageBreakBefore w:val="0"/>
        <w:kinsoku/>
        <w:overflowPunct/>
        <w:topLinePunct w:val="0"/>
        <w:autoSpaceDE/>
        <w:autoSpaceDN/>
        <w:bidi w:val="0"/>
        <w:adjustRightInd/>
        <w:snapToGrid/>
        <w:spacing w:line="590" w:lineRule="exact"/>
        <w:jc w:val="both"/>
        <w:textAlignment w:val="auto"/>
        <w:rPr>
          <w:rFonts w:hint="eastAsia" w:ascii="黑体" w:hAnsi="黑体" w:eastAsia="黑体" w:cs="黑体"/>
          <w:b w:val="0"/>
          <w:bCs/>
          <w:sz w:val="32"/>
          <w:szCs w:val="32"/>
          <w:lang w:val="en-US" w:eastAsia="zh-CN"/>
        </w:rPr>
      </w:pPr>
    </w:p>
    <w:p>
      <w:pPr>
        <w:keepNext w:val="0"/>
        <w:keepLines w:val="0"/>
        <w:pageBreakBefore w:val="0"/>
        <w:kinsoku/>
        <w:overflowPunct/>
        <w:topLinePunct w:val="0"/>
        <w:autoSpaceDE/>
        <w:autoSpaceDN/>
        <w:bidi w:val="0"/>
        <w:adjustRightInd/>
        <w:snapToGrid/>
        <w:spacing w:line="590" w:lineRule="exact"/>
        <w:jc w:val="both"/>
        <w:textAlignment w:val="auto"/>
        <w:rPr>
          <w:rFonts w:hint="eastAsia" w:ascii="黑体" w:hAnsi="黑体" w:eastAsia="黑体" w:cs="黑体"/>
          <w:b w:val="0"/>
          <w:bCs/>
          <w:sz w:val="32"/>
          <w:szCs w:val="32"/>
          <w:lang w:val="en-US" w:eastAsia="zh-CN"/>
        </w:rPr>
      </w:pPr>
    </w:p>
    <w:tbl>
      <w:tblPr>
        <w:tblStyle w:val="9"/>
        <w:tblpPr w:leftFromText="181" w:rightFromText="181" w:vertAnchor="page" w:horzAnchor="page" w:tblpX="1582" w:tblpY="13599"/>
        <w:tblOverlap w:val="never"/>
        <w:tblW w:w="8844" w:type="dxa"/>
        <w:tblInd w:w="0" w:type="dxa"/>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
      <w:tblGrid>
        <w:gridCol w:w="4001"/>
        <w:gridCol w:w="4843"/>
      </w:tblGrid>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4001" w:type="dxa"/>
            <w:noWrap w:val="0"/>
            <w:vAlign w:val="top"/>
          </w:tcPr>
          <w:p>
            <w:pPr>
              <w:ind w:left="210" w:leftChars="100"/>
              <w:jc w:val="left"/>
              <w:rPr>
                <w:rFonts w:hint="eastAsia" w:ascii="仿宋_GB2312" w:hAnsi="黑体" w:eastAsia="仿宋_GB2312" w:cs="Times New Roman"/>
                <w:sz w:val="28"/>
                <w:szCs w:val="28"/>
              </w:rPr>
            </w:pPr>
            <w:r>
              <w:rPr>
                <w:rFonts w:hint="eastAsia" w:ascii="仿宋_GB2312" w:hAnsi="黑体" w:eastAsia="仿宋_GB2312" w:cs="Times New Roman"/>
                <w:sz w:val="28"/>
                <w:szCs w:val="28"/>
              </w:rPr>
              <w:t>贵州省财政厅办公室</w:t>
            </w:r>
          </w:p>
        </w:tc>
        <w:tc>
          <w:tcPr>
            <w:tcW w:w="4843" w:type="dxa"/>
            <w:noWrap w:val="0"/>
            <w:vAlign w:val="top"/>
          </w:tcPr>
          <w:p>
            <w:pPr>
              <w:ind w:right="210" w:rightChars="100"/>
              <w:jc w:val="right"/>
              <w:rPr>
                <w:rFonts w:hint="eastAsia" w:ascii="仿宋_GB2312" w:hAnsi="黑体" w:eastAsia="仿宋_GB2312" w:cs="Times New Roman"/>
                <w:sz w:val="28"/>
                <w:szCs w:val="28"/>
              </w:rPr>
            </w:pPr>
            <w:r>
              <w:rPr>
                <w:rFonts w:hint="eastAsia" w:ascii="仿宋_GB2312" w:hAnsi="黑体" w:eastAsia="仿宋_GB2312" w:cs="Times New Roman"/>
                <w:sz w:val="28"/>
                <w:szCs w:val="28"/>
              </w:rPr>
              <w:t>20</w:t>
            </w:r>
            <w:r>
              <w:rPr>
                <w:rFonts w:hint="eastAsia" w:ascii="仿宋_GB2312" w:hAnsi="黑体" w:eastAsia="仿宋_GB2312" w:cs="Times New Roman"/>
                <w:sz w:val="28"/>
                <w:szCs w:val="28"/>
                <w:lang w:val="en-US" w:eastAsia="zh-CN"/>
              </w:rPr>
              <w:t>22</w:t>
            </w:r>
            <w:r>
              <w:rPr>
                <w:rFonts w:hint="eastAsia" w:ascii="仿宋_GB2312" w:hAnsi="黑体" w:eastAsia="仿宋_GB2312" w:cs="Times New Roman"/>
                <w:sz w:val="28"/>
                <w:szCs w:val="28"/>
              </w:rPr>
              <w:t>年</w:t>
            </w:r>
            <w:r>
              <w:rPr>
                <w:rFonts w:hint="eastAsia" w:ascii="仿宋_GB2312" w:hAnsi="黑体" w:eastAsia="仿宋_GB2312" w:cs="Times New Roman"/>
                <w:sz w:val="28"/>
                <w:szCs w:val="28"/>
                <w:lang w:val="en-US" w:eastAsia="zh-CN"/>
              </w:rPr>
              <w:t>10</w:t>
            </w:r>
            <w:r>
              <w:rPr>
                <w:rFonts w:hint="eastAsia" w:ascii="仿宋_GB2312" w:hAnsi="黑体" w:eastAsia="仿宋_GB2312" w:cs="Times New Roman"/>
                <w:sz w:val="28"/>
                <w:szCs w:val="28"/>
              </w:rPr>
              <w:t>月</w:t>
            </w:r>
            <w:r>
              <w:rPr>
                <w:rFonts w:hint="eastAsia" w:ascii="仿宋_GB2312" w:hAnsi="黑体" w:eastAsia="仿宋_GB2312" w:cs="Times New Roman"/>
                <w:sz w:val="28"/>
                <w:szCs w:val="28"/>
                <w:lang w:val="en-US" w:eastAsia="zh-CN"/>
              </w:rPr>
              <w:t>10</w:t>
            </w:r>
            <w:r>
              <w:rPr>
                <w:rFonts w:hint="eastAsia" w:ascii="仿宋_GB2312" w:hAnsi="黑体" w:eastAsia="仿宋_GB2312" w:cs="Times New Roman"/>
                <w:sz w:val="28"/>
                <w:szCs w:val="28"/>
              </w:rPr>
              <w:t>日印发</w:t>
            </w:r>
          </w:p>
        </w:tc>
      </w:tr>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8844" w:type="dxa"/>
            <w:gridSpan w:val="2"/>
            <w:noWrap w:val="0"/>
            <w:vAlign w:val="top"/>
          </w:tcPr>
          <w:p>
            <w:pPr>
              <w:ind w:left="210" w:leftChars="100" w:right="630" w:rightChars="300"/>
              <w:jc w:val="right"/>
              <w:rPr>
                <w:rFonts w:hint="eastAsia" w:ascii="仿宋_GB2312" w:hAnsi="黑体" w:eastAsia="仿宋_GB2312" w:cs="Times New Roman"/>
                <w:sz w:val="28"/>
                <w:szCs w:val="28"/>
              </w:rPr>
            </w:pPr>
            <w:r>
              <w:rPr>
                <w:rFonts w:hint="eastAsia" w:ascii="仿宋_GB2312" w:hAnsi="黑体" w:eastAsia="仿宋_GB2312" w:cs="Times New Roman"/>
                <w:sz w:val="28"/>
                <w:szCs w:val="28"/>
              </w:rPr>
              <w:t>共印</w:t>
            </w:r>
            <w:r>
              <w:rPr>
                <w:rFonts w:hint="eastAsia" w:ascii="仿宋_GB2312" w:hAnsi="黑体" w:eastAsia="仿宋_GB2312" w:cs="Times New Roman"/>
                <w:sz w:val="28"/>
                <w:szCs w:val="28"/>
                <w:lang w:val="en-US" w:eastAsia="zh-CN"/>
              </w:rPr>
              <w:t>5</w:t>
            </w:r>
            <w:r>
              <w:rPr>
                <w:rFonts w:hint="eastAsia" w:ascii="仿宋_GB2312" w:hAnsi="黑体" w:eastAsia="仿宋_GB2312" w:cs="Times New Roman"/>
                <w:sz w:val="28"/>
                <w:szCs w:val="28"/>
              </w:rPr>
              <w:t>份</w:t>
            </w:r>
          </w:p>
        </w:tc>
      </w:tr>
    </w:tbl>
    <w:p>
      <w:pPr>
        <w:keepNext w:val="0"/>
        <w:keepLines w:val="0"/>
        <w:pageBreakBefore w:val="0"/>
        <w:kinsoku/>
        <w:overflowPunct/>
        <w:topLinePunct w:val="0"/>
        <w:autoSpaceDE/>
        <w:autoSpaceDN/>
        <w:bidi w:val="0"/>
        <w:adjustRightInd/>
        <w:snapToGrid/>
        <w:spacing w:line="590" w:lineRule="exact"/>
        <w:jc w:val="both"/>
        <w:textAlignment w:val="auto"/>
        <w:rPr>
          <w:rFonts w:hint="eastAsia" w:ascii="黑体" w:hAnsi="黑体" w:eastAsia="黑体" w:cs="黑体"/>
          <w:b w:val="0"/>
          <w:bCs/>
          <w:sz w:val="32"/>
          <w:szCs w:val="32"/>
          <w:lang w:val="en-US" w:eastAsia="zh-CN"/>
        </w:rPr>
        <w:sectPr>
          <w:footerReference r:id="rId3" w:type="default"/>
          <w:pgSz w:w="11906" w:h="16838"/>
          <w:pgMar w:top="1928" w:right="1499" w:bottom="1928" w:left="1587" w:header="851" w:footer="1474" w:gutter="0"/>
          <w:pgNumType w:fmt="decimal"/>
          <w:cols w:space="720" w:num="1"/>
          <w:docGrid w:type="lines" w:linePitch="312" w:charSpace="0"/>
        </w:sectPr>
      </w:pPr>
    </w:p>
    <w:bookmarkEnd w:id="0"/>
    <w:p>
      <w:pPr>
        <w:keepNext w:val="0"/>
        <w:keepLines w:val="0"/>
        <w:pageBreakBefore w:val="0"/>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件</w:t>
      </w:r>
    </w:p>
    <w:p>
      <w:pPr>
        <w:pStyle w:val="2"/>
        <w:spacing w:beforeLines="0" w:afterLines="0" w:line="590" w:lineRule="exact"/>
        <w:ind w:left="0" w:leftChars="0"/>
        <w:rPr>
          <w:rFonts w:hint="default" w:ascii="Calibri" w:hAnsi="Calibri" w:eastAsia="宋体" w:cs="Times New Roman"/>
          <w:sz w:val="21"/>
          <w:szCs w:val="2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590" w:lineRule="exact"/>
        <w:ind w:left="0" w:leftChars="0" w:right="0" w:rightChars="0" w:firstLine="0"/>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rPr>
        <w:t>贵州省</w:t>
      </w:r>
      <w:r>
        <w:rPr>
          <w:rFonts w:hint="eastAsia" w:ascii="方正小标宋简体" w:hAnsi="方正小标宋简体" w:eastAsia="方正小标宋简体" w:cs="方正小标宋简体"/>
          <w:b w:val="0"/>
          <w:bCs/>
          <w:spacing w:val="0"/>
          <w:sz w:val="44"/>
          <w:szCs w:val="44"/>
          <w:lang w:val="en-US" w:eastAsia="zh-CN"/>
        </w:rPr>
        <w:t>百岁老人生活省级补助资金管理办法</w:t>
      </w:r>
    </w:p>
    <w:p>
      <w:pPr>
        <w:keepNext w:val="0"/>
        <w:keepLines w:val="0"/>
        <w:pageBreakBefore w:val="0"/>
        <w:widowControl/>
        <w:shd w:val="clear" w:color="auto" w:fill="auto"/>
        <w:kinsoku/>
        <w:wordWrap w:val="0"/>
        <w:overflowPunct/>
        <w:topLinePunct w:val="0"/>
        <w:autoSpaceDE/>
        <w:autoSpaceDN/>
        <w:bidi w:val="0"/>
        <w:adjustRightInd/>
        <w:snapToGrid/>
        <w:spacing w:beforeLines="0" w:beforeAutospacing="0" w:afterLines="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　　</w:t>
      </w:r>
    </w:p>
    <w:p>
      <w:pPr>
        <w:keepNext w:val="0"/>
        <w:keepLines w:val="0"/>
        <w:pageBreakBefore w:val="0"/>
        <w:kinsoku/>
        <w:wordWrap/>
        <w:overflowPunct/>
        <w:topLinePunct w:val="0"/>
        <w:autoSpaceDE/>
        <w:autoSpaceDN/>
        <w:bidi w:val="0"/>
        <w:adjustRightInd/>
        <w:snapToGrid/>
        <w:spacing w:line="640" w:lineRule="exact"/>
        <w:ind w:firstLine="640"/>
        <w:jc w:val="both"/>
        <w:textAlignment w:val="auto"/>
        <w:rPr>
          <w:rFonts w:hint="default" w:ascii="黑体" w:hAnsi="黑体" w:eastAsia="黑体" w:cs="黑体"/>
          <w:b w:val="0"/>
          <w:bCs w:val="0"/>
          <w:i w:val="0"/>
          <w:caps w:val="0"/>
          <w:color w:val="000000"/>
          <w:spacing w:val="0"/>
          <w:kern w:val="0"/>
          <w:sz w:val="32"/>
          <w:szCs w:val="32"/>
          <w:lang w:val="en-US" w:eastAsia="zh-CN" w:bidi="ar"/>
        </w:rPr>
      </w:pPr>
      <w:r>
        <w:rPr>
          <w:rFonts w:hint="eastAsia" w:ascii="黑体" w:hAnsi="黑体" w:eastAsia="黑体" w:cs="黑体"/>
          <w:b w:val="0"/>
          <w:bCs w:val="0"/>
          <w:i w:val="0"/>
          <w:caps w:val="0"/>
          <w:color w:val="000000"/>
          <w:spacing w:val="0"/>
          <w:kern w:val="0"/>
          <w:sz w:val="32"/>
          <w:szCs w:val="32"/>
          <w:lang w:val="en-US" w:eastAsia="zh-CN" w:bidi="ar"/>
        </w:rPr>
        <w:t xml:space="preserve">第一条  </w:t>
      </w:r>
      <w:r>
        <w:rPr>
          <w:rFonts w:hint="eastAsia" w:ascii="仿宋_GB2312" w:hAnsi="仿宋_GB2312" w:eastAsia="仿宋_GB2312" w:cs="仿宋_GB2312"/>
          <w:b w:val="0"/>
          <w:bCs w:val="0"/>
          <w:i w:val="0"/>
          <w:caps w:val="0"/>
          <w:color w:val="000000"/>
          <w:spacing w:val="0"/>
          <w:kern w:val="0"/>
          <w:sz w:val="32"/>
          <w:szCs w:val="32"/>
          <w:lang w:val="en-US" w:eastAsia="zh-CN" w:bidi="ar"/>
        </w:rPr>
        <w:t>为加强和规范百岁老人生活省级补助资金的使用和管理，提高资金使用效益，根据《中华人民共和国预算法》《贵州省老年人权益保障条例》《贵州省养老服务条例》《中共贵州省委、贵州省人民政府关于全面实施预算绩效管理的实施意见》（黔党发</w:t>
      </w:r>
      <w:r>
        <w:rPr>
          <w:rFonts w:hint="eastAsia" w:ascii="楷体_GB2312" w:hAnsi="楷体_GB2312" w:eastAsia="楷体_GB2312" w:cs="楷体_GB2312"/>
          <w:b w:val="0"/>
          <w:bCs w:val="0"/>
          <w:i w:val="0"/>
          <w:caps w:val="0"/>
          <w:color w:val="000000"/>
          <w:spacing w:val="0"/>
          <w:kern w:val="0"/>
          <w:sz w:val="32"/>
          <w:szCs w:val="32"/>
          <w:lang w:val="en-US" w:eastAsia="zh-CN" w:bidi="ar"/>
        </w:rPr>
        <w:t>〔2019〕29号</w:t>
      </w:r>
      <w:r>
        <w:rPr>
          <w:rFonts w:hint="eastAsia" w:ascii="仿宋_GB2312" w:hAnsi="仿宋_GB2312" w:eastAsia="仿宋_GB2312" w:cs="仿宋_GB2312"/>
          <w:b w:val="0"/>
          <w:bCs w:val="0"/>
          <w:i w:val="0"/>
          <w:caps w:val="0"/>
          <w:color w:val="000000"/>
          <w:spacing w:val="0"/>
          <w:kern w:val="0"/>
          <w:sz w:val="32"/>
          <w:szCs w:val="32"/>
          <w:lang w:val="en-US" w:eastAsia="zh-CN" w:bidi="ar"/>
        </w:rPr>
        <w:t>）等有关规定，结合我省实际，制定本办法。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 xml:space="preserve">第二条  </w:t>
      </w:r>
      <w:r>
        <w:rPr>
          <w:rFonts w:hint="eastAsia" w:ascii="仿宋_GB2312" w:hAnsi="仿宋_GB2312" w:eastAsia="仿宋_GB2312" w:cs="仿宋_GB2312"/>
          <w:i w:val="0"/>
          <w:caps w:val="0"/>
          <w:color w:val="000000"/>
          <w:spacing w:val="0"/>
          <w:kern w:val="0"/>
          <w:sz w:val="32"/>
          <w:szCs w:val="32"/>
          <w:lang w:val="en-US" w:eastAsia="zh-CN" w:bidi="ar"/>
        </w:rPr>
        <w:t>百岁老人生活省级补助资金，是指省级财政预算安排，专项用于补助百岁老人改善生活条件的资金（以下简称“补助资金”）</w:t>
      </w:r>
      <w:r>
        <w:rPr>
          <w:rFonts w:hint="eastAsia" w:ascii="仿宋_GB2312" w:hAnsi="仿宋_GB2312" w:eastAsia="仿宋_GB2312" w:cs="仿宋_GB2312"/>
          <w:i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640" w:lineRule="exact"/>
        <w:ind w:left="0" w:leftChars="0" w:right="0" w:rightChars="0" w:firstLine="653"/>
        <w:jc w:val="both"/>
        <w:textAlignment w:val="auto"/>
        <w:outlineLvl w:val="9"/>
        <w:rPr>
          <w:rFonts w:hint="eastAsia" w:ascii="Calibri" w:hAnsi="Calibri" w:eastAsia="宋体" w:cs="Times New Roman"/>
          <w:lang w:val="en-US" w:eastAsia="zh-CN"/>
        </w:rPr>
      </w:pPr>
      <w:r>
        <w:rPr>
          <w:rFonts w:hint="eastAsia" w:ascii="仿宋_GB2312" w:hAnsi="仿宋_GB2312" w:eastAsia="仿宋_GB2312" w:cs="仿宋_GB2312"/>
          <w:b w:val="0"/>
          <w:bCs w:val="0"/>
          <w:color w:val="000000"/>
          <w:sz w:val="32"/>
          <w:szCs w:val="32"/>
          <w:highlight w:val="none"/>
          <w:u w:val="none"/>
          <w:lang w:eastAsia="zh-CN"/>
        </w:rPr>
        <w:t>补助</w:t>
      </w:r>
      <w:r>
        <w:rPr>
          <w:rFonts w:hint="eastAsia" w:ascii="仿宋_GB2312" w:hAnsi="仿宋_GB2312" w:eastAsia="仿宋_GB2312" w:cs="仿宋_GB2312"/>
          <w:b w:val="0"/>
          <w:bCs w:val="0"/>
          <w:color w:val="000000"/>
          <w:sz w:val="32"/>
          <w:szCs w:val="32"/>
          <w:highlight w:val="none"/>
          <w:u w:val="none"/>
        </w:rPr>
        <w:t>资金实施期限暂至202</w:t>
      </w:r>
      <w:r>
        <w:rPr>
          <w:rFonts w:hint="eastAsia" w:ascii="仿宋_GB2312" w:hAnsi="仿宋_GB2312" w:eastAsia="仿宋_GB2312" w:cs="仿宋_GB2312"/>
          <w:b w:val="0"/>
          <w:bCs w:val="0"/>
          <w:color w:val="000000"/>
          <w:sz w:val="32"/>
          <w:szCs w:val="32"/>
          <w:highlight w:val="none"/>
          <w:u w:val="none"/>
          <w:lang w:val="en-US" w:eastAsia="zh-CN"/>
        </w:rPr>
        <w:t>3</w:t>
      </w:r>
      <w:r>
        <w:rPr>
          <w:rFonts w:hint="eastAsia" w:ascii="仿宋_GB2312" w:hAnsi="仿宋_GB2312" w:eastAsia="仿宋_GB2312" w:cs="仿宋_GB2312"/>
          <w:b w:val="0"/>
          <w:bCs w:val="0"/>
          <w:color w:val="000000"/>
          <w:sz w:val="32"/>
          <w:szCs w:val="32"/>
          <w:highlight w:val="none"/>
          <w:u w:val="none"/>
        </w:rPr>
        <w:t>年12月31日。期满后省财政厅会同省民政厅根据现行法律、行政法规以及中央和省有关规定、工作需要</w:t>
      </w:r>
      <w:r>
        <w:rPr>
          <w:rFonts w:hint="eastAsia" w:ascii="仿宋_GB2312" w:hAnsi="仿宋_GB2312" w:eastAsia="仿宋_GB2312" w:cs="仿宋_GB2312"/>
          <w:b w:val="0"/>
          <w:bCs w:val="0"/>
          <w:color w:val="000000"/>
          <w:sz w:val="32"/>
          <w:szCs w:val="32"/>
          <w:highlight w:val="none"/>
          <w:u w:val="none"/>
          <w:lang w:eastAsia="zh-CN"/>
        </w:rPr>
        <w:t>，</w:t>
      </w:r>
      <w:r>
        <w:rPr>
          <w:rFonts w:hint="eastAsia" w:ascii="仿宋_GB2312" w:hAnsi="仿宋_GB2312" w:eastAsia="仿宋_GB2312" w:cs="仿宋_GB2312"/>
          <w:b w:val="0"/>
          <w:bCs w:val="0"/>
          <w:color w:val="000000"/>
          <w:sz w:val="32"/>
          <w:szCs w:val="32"/>
          <w:highlight w:val="none"/>
          <w:u w:val="none"/>
          <w:lang w:val="en-US" w:eastAsia="zh-CN"/>
        </w:rPr>
        <w:t>并结合资金使用绩效</w:t>
      </w:r>
      <w:r>
        <w:rPr>
          <w:rFonts w:hint="eastAsia" w:ascii="仿宋_GB2312" w:hAnsi="仿宋_GB2312" w:eastAsia="仿宋_GB2312" w:cs="仿宋_GB2312"/>
          <w:b w:val="0"/>
          <w:bCs w:val="0"/>
          <w:color w:val="000000"/>
          <w:sz w:val="32"/>
          <w:szCs w:val="32"/>
          <w:highlight w:val="none"/>
          <w:u w:val="none"/>
        </w:rPr>
        <w:t>评估确定后续期限。</w:t>
      </w:r>
    </w:p>
    <w:p>
      <w:pPr>
        <w:pStyle w:val="2"/>
        <w:keepNext w:val="0"/>
        <w:keepLines w:val="0"/>
        <w:pageBreakBefore w:val="0"/>
        <w:kinsoku/>
        <w:wordWrap/>
        <w:overflowPunct/>
        <w:topLinePunct w:val="0"/>
        <w:autoSpaceDE/>
        <w:autoSpaceDN/>
        <w:bidi w:val="0"/>
        <w:adjustRightInd/>
        <w:snapToGrid/>
        <w:spacing w:beforeLines="0" w:afterLines="0" w:line="640" w:lineRule="exact"/>
        <w:ind w:left="0" w:leftChars="0" w:firstLine="640" w:firstLineChars="200"/>
        <w:textAlignment w:val="auto"/>
        <w:rPr>
          <w:rFonts w:hint="default"/>
          <w:lang w:val="en-US" w:eastAsia="zh-CN"/>
        </w:rPr>
      </w:pPr>
      <w:r>
        <w:rPr>
          <w:rFonts w:hint="eastAsia" w:ascii="黑体" w:hAnsi="黑体" w:eastAsia="黑体" w:cs="黑体"/>
          <w:b w:val="0"/>
          <w:bCs w:val="0"/>
          <w:color w:val="000000"/>
          <w:sz w:val="32"/>
          <w:szCs w:val="32"/>
          <w:lang w:eastAsia="zh-CN"/>
        </w:rPr>
        <w:t>第三条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i w:val="0"/>
          <w:caps w:val="0"/>
          <w:color w:val="000000"/>
          <w:spacing w:val="0"/>
          <w:kern w:val="0"/>
          <w:sz w:val="32"/>
          <w:szCs w:val="32"/>
          <w:lang w:val="en-US" w:eastAsia="zh-CN" w:bidi="ar"/>
        </w:rPr>
        <w:t>补助资金发放对象为年满100周岁以上（含100周岁，下同），具有贵州省户籍或户籍所在地在非本省行政辖区但持有本省居住证且在当地持续居住1年以上的老年人。补助资金发放坚持公开、公平、公正，做到专款专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640" w:lineRule="exact"/>
        <w:ind w:left="0" w:leftChars="0" w:right="0" w:rightChars="0" w:firstLine="645"/>
        <w:jc w:val="both"/>
        <w:textAlignment w:val="auto"/>
        <w:outlineLvl w:val="9"/>
        <w:rPr>
          <w:rFonts w:hint="default" w:ascii="仿宋_GB2312" w:hAnsi="仿宋_GB2312" w:eastAsia="仿宋_GB2312" w:cs="仿宋_GB2312"/>
          <w:i w:val="0"/>
          <w:caps w:val="0"/>
          <w:color w:val="auto"/>
          <w:spacing w:val="0"/>
          <w:kern w:val="0"/>
          <w:sz w:val="32"/>
          <w:szCs w:val="32"/>
          <w:highlight w:val="yellow"/>
          <w:u w:val="single"/>
          <w:lang w:val="en-US" w:eastAsia="zh-CN" w:bidi="ar"/>
        </w:rPr>
      </w:pPr>
      <w:r>
        <w:rPr>
          <w:rFonts w:hint="eastAsia" w:ascii="黑体" w:hAnsi="黑体" w:eastAsia="黑体" w:cs="黑体"/>
          <w:i w:val="0"/>
          <w:caps w:val="0"/>
          <w:color w:val="000000"/>
          <w:spacing w:val="0"/>
          <w:kern w:val="0"/>
          <w:sz w:val="32"/>
          <w:szCs w:val="32"/>
          <w:highlight w:val="none"/>
          <w:lang w:val="en-US" w:eastAsia="zh-CN" w:bidi="ar"/>
        </w:rPr>
        <w:t xml:space="preserve">第四条 </w:t>
      </w:r>
      <w:r>
        <w:rPr>
          <w:rFonts w:hint="eastAsia" w:ascii="仿宋_GB2312" w:hAnsi="仿宋_GB2312" w:eastAsia="仿宋_GB2312" w:cs="仿宋_GB2312"/>
          <w:b w:val="0"/>
          <w:bCs w:val="0"/>
          <w:i w:val="0"/>
          <w:caps w:val="0"/>
          <w:color w:val="000000"/>
          <w:spacing w:val="0"/>
          <w:kern w:val="0"/>
          <w:sz w:val="32"/>
          <w:szCs w:val="32"/>
          <w:lang w:val="en-US" w:eastAsia="zh-CN" w:bidi="ar"/>
        </w:rPr>
        <w:t>发放标准由省民政厅、省财政厅联合呈报省人民政府批准后确定</w:t>
      </w:r>
      <w:r>
        <w:rPr>
          <w:rFonts w:hint="eastAsia" w:ascii="仿宋_GB2312" w:hAnsi="仿宋_GB2312" w:eastAsia="仿宋_GB2312" w:cs="仿宋_GB2312"/>
          <w:i w:val="0"/>
          <w:caps w:val="0"/>
          <w:color w:val="auto"/>
          <w:spacing w:val="0"/>
          <w:kern w:val="0"/>
          <w:sz w:val="32"/>
          <w:szCs w:val="32"/>
          <w:highlight w:val="none"/>
          <w:lang w:val="en-US" w:eastAsia="zh-CN" w:bidi="ar"/>
        </w:rPr>
        <w:t>。</w:t>
      </w:r>
    </w:p>
    <w:p>
      <w:pPr>
        <w:pStyle w:val="2"/>
        <w:keepNext w:val="0"/>
        <w:keepLines w:val="0"/>
        <w:pageBreakBefore w:val="0"/>
        <w:numPr>
          <w:ilvl w:val="0"/>
          <w:numId w:val="0"/>
        </w:numPr>
        <w:kinsoku/>
        <w:wordWrap/>
        <w:overflowPunct/>
        <w:topLinePunct w:val="0"/>
        <w:autoSpaceDE/>
        <w:autoSpaceDN/>
        <w:bidi w:val="0"/>
        <w:adjustRightInd/>
        <w:snapToGrid/>
        <w:spacing w:beforeLines="0" w:afterLines="0" w:line="640" w:lineRule="exact"/>
        <w:ind w:left="0" w:leftChars="0" w:firstLine="640" w:firstLineChars="200"/>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 xml:space="preserve">第五条  </w:t>
      </w:r>
      <w:r>
        <w:rPr>
          <w:rFonts w:hint="eastAsia" w:ascii="仿宋_GB2312" w:hAnsi="仿宋_GB2312" w:eastAsia="仿宋_GB2312" w:cs="仿宋_GB2312"/>
          <w:i w:val="0"/>
          <w:caps w:val="0"/>
          <w:color w:val="000000"/>
          <w:spacing w:val="0"/>
          <w:kern w:val="0"/>
          <w:sz w:val="32"/>
          <w:szCs w:val="32"/>
          <w:lang w:val="en-US" w:eastAsia="zh-CN" w:bidi="ar"/>
        </w:rPr>
        <w:t>补助资金按因素法分配，主要参考各地上年底百岁老人数量、省级发放标准等因素。测算公式为：</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Calibri" w:hAnsi="Calibri" w:eastAsia="宋体" w:cs="Times New Roman"/>
          <w:lang w:val="en-US"/>
        </w:rPr>
      </w:pPr>
      <w:r>
        <w:rPr>
          <w:rFonts w:hint="eastAsia" w:ascii="仿宋_GB2312" w:hAnsi="仿宋_GB2312" w:eastAsia="仿宋_GB2312" w:cs="仿宋_GB2312"/>
          <w:i w:val="0"/>
          <w:caps w:val="0"/>
          <w:color w:val="000000"/>
          <w:spacing w:val="0"/>
          <w:kern w:val="0"/>
          <w:sz w:val="32"/>
          <w:szCs w:val="32"/>
          <w:lang w:val="en-US" w:eastAsia="zh-CN" w:bidi="ar"/>
        </w:rPr>
        <w:t>某地应拨付资金=该地百岁老人数量</w:t>
      </w:r>
      <w:r>
        <w:rPr>
          <w:rFonts w:hint="default" w:ascii="Arial" w:hAnsi="Arial" w:eastAsia="仿宋_GB2312" w:cs="Arial"/>
          <w:i w:val="0"/>
          <w:caps w:val="0"/>
          <w:color w:val="000000"/>
          <w:spacing w:val="0"/>
          <w:kern w:val="0"/>
          <w:sz w:val="32"/>
          <w:szCs w:val="32"/>
          <w:lang w:val="en-US" w:eastAsia="zh-CN" w:bidi="ar"/>
        </w:rPr>
        <w:t>×</w:t>
      </w:r>
      <w:r>
        <w:rPr>
          <w:rFonts w:hint="eastAsia" w:ascii="仿宋_GB2312" w:hAnsi="仿宋_GB2312" w:eastAsia="仿宋_GB2312" w:cs="仿宋_GB2312"/>
          <w:i w:val="0"/>
          <w:caps w:val="0"/>
          <w:color w:val="000000"/>
          <w:spacing w:val="0"/>
          <w:kern w:val="0"/>
          <w:sz w:val="32"/>
          <w:szCs w:val="32"/>
          <w:lang w:val="en-US" w:eastAsia="zh-CN" w:bidi="ar"/>
        </w:rPr>
        <w:t>省级发放标准</w:t>
      </w:r>
    </w:p>
    <w:p>
      <w:pPr>
        <w:keepNext w:val="0"/>
        <w:keepLines w:val="0"/>
        <w:pageBreakBefore w:val="0"/>
        <w:kinsoku/>
        <w:wordWrap/>
        <w:overflowPunct/>
        <w:topLinePunct w:val="0"/>
        <w:autoSpaceDE/>
        <w:autoSpaceDN/>
        <w:bidi w:val="0"/>
        <w:adjustRightInd/>
        <w:snapToGrid/>
        <w:spacing w:beforeLines="0" w:beforeAutospacing="0" w:afterLines="0" w:afterAutospacing="0" w:line="640" w:lineRule="exact"/>
        <w:ind w:left="0" w:leftChars="0" w:right="0" w:rightChars="0" w:firstLine="645"/>
        <w:textAlignment w:val="auto"/>
        <w:outlineLvl w:val="9"/>
        <w:rPr>
          <w:rFonts w:hint="default" w:ascii="仿宋_GB2312" w:hAnsi="仿宋_GB2312" w:eastAsia="仿宋_GB2312" w:cs="仿宋_GB2312"/>
          <w:i w:val="0"/>
          <w:caps w:val="0"/>
          <w:color w:val="auto"/>
          <w:spacing w:val="0"/>
          <w:kern w:val="0"/>
          <w:sz w:val="32"/>
          <w:szCs w:val="32"/>
          <w:highlight w:val="none"/>
          <w:lang w:val="en-US" w:eastAsia="zh-CN" w:bidi="ar"/>
        </w:rPr>
      </w:pPr>
      <w:r>
        <w:rPr>
          <w:rFonts w:hint="eastAsia" w:ascii="黑体" w:hAnsi="黑体" w:eastAsia="黑体" w:cs="黑体"/>
          <w:b w:val="0"/>
          <w:bCs w:val="0"/>
          <w:color w:val="000000"/>
          <w:sz w:val="32"/>
          <w:szCs w:val="32"/>
          <w:lang w:eastAsia="zh-CN"/>
        </w:rPr>
        <w:t>第六条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color w:val="000000"/>
          <w:sz w:val="32"/>
          <w:szCs w:val="32"/>
        </w:rPr>
        <w:t>省财政厅会同省民政厅对</w:t>
      </w:r>
      <w:r>
        <w:rPr>
          <w:rFonts w:hint="eastAsia" w:ascii="仿宋_GB2312" w:hAnsi="仿宋_GB2312" w:eastAsia="仿宋_GB2312" w:cs="仿宋_GB2312"/>
          <w:color w:val="000000"/>
          <w:sz w:val="32"/>
          <w:szCs w:val="32"/>
          <w:lang w:eastAsia="zh-CN"/>
        </w:rPr>
        <w:t>补助资金</w:t>
      </w:r>
      <w:r>
        <w:rPr>
          <w:rFonts w:hint="eastAsia" w:ascii="仿宋_GB2312" w:hAnsi="仿宋_GB2312" w:eastAsia="仿宋_GB2312" w:cs="仿宋_GB2312"/>
          <w:color w:val="000000"/>
          <w:sz w:val="32"/>
          <w:szCs w:val="32"/>
        </w:rPr>
        <w:t>实施全程预算绩效管理。按照预算管理规定，</w:t>
      </w:r>
      <w:r>
        <w:rPr>
          <w:rFonts w:hint="eastAsia" w:ascii="仿宋_GB2312" w:hAnsi="仿宋_GB2312" w:eastAsia="仿宋_GB2312" w:cs="仿宋_GB2312"/>
          <w:color w:val="auto"/>
          <w:sz w:val="32"/>
          <w:szCs w:val="32"/>
        </w:rPr>
        <w:t>市（州）民政部门商同级财政部门设定资金区域绩效目标，报省民政厅审核。</w:t>
      </w:r>
      <w:r>
        <w:rPr>
          <w:rFonts w:hint="eastAsia" w:ascii="仿宋_GB2312" w:hAnsi="仿宋_GB2312" w:eastAsia="仿宋_GB2312" w:cs="仿宋_GB2312"/>
          <w:color w:val="000000"/>
          <w:sz w:val="32"/>
          <w:szCs w:val="32"/>
        </w:rPr>
        <w:t>省民政厅在完成绩效目标审核后提出资金的分配建议及当年全省整体绩效目标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分区域绩效目标，函报省财政厅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并负责提供相关测算数据，对其准确性、及时性负责。省财政厅会同省民政厅根据规定测算</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资金分配方案</w:t>
      </w:r>
      <w:r>
        <w:rPr>
          <w:rFonts w:hint="eastAsia" w:ascii="仿宋_GB2312" w:hAnsi="仿宋_GB2312" w:eastAsia="仿宋_GB2312" w:cs="仿宋_GB2312"/>
          <w:color w:val="000000"/>
          <w:sz w:val="32"/>
          <w:szCs w:val="32"/>
          <w:lang w:eastAsia="zh-CN"/>
        </w:rPr>
        <w:t>，在规定时限内</w:t>
      </w:r>
      <w:r>
        <w:rPr>
          <w:rFonts w:hint="eastAsia" w:ascii="仿宋_GB2312" w:hAnsi="仿宋_GB2312" w:eastAsia="仿宋_GB2312" w:cs="仿宋_GB2312"/>
          <w:color w:val="000000"/>
          <w:sz w:val="32"/>
          <w:szCs w:val="32"/>
        </w:rPr>
        <w:t>下达补助资金，同步下达区域绩效目标。年度执行中，省民政厅会同省财政厅指导</w:t>
      </w:r>
      <w:r>
        <w:rPr>
          <w:rFonts w:hint="eastAsia" w:ascii="仿宋_GB2312" w:hAnsi="仿宋_GB2312" w:eastAsia="仿宋_GB2312" w:cs="仿宋_GB2312"/>
          <w:color w:val="000000"/>
          <w:sz w:val="32"/>
          <w:szCs w:val="32"/>
          <w:lang w:eastAsia="zh-CN"/>
        </w:rPr>
        <w:t>各地</w:t>
      </w:r>
      <w:r>
        <w:rPr>
          <w:rFonts w:hint="eastAsia" w:ascii="仿宋_GB2312" w:hAnsi="仿宋_GB2312" w:eastAsia="仿宋_GB2312" w:cs="仿宋_GB2312"/>
          <w:color w:val="000000"/>
          <w:sz w:val="32"/>
          <w:szCs w:val="32"/>
        </w:rPr>
        <w:t>对绩效目标实现情况进行监控，确保绩效目标如期实现。</w:t>
      </w:r>
    </w:p>
    <w:p>
      <w:pPr>
        <w:keepNext w:val="0"/>
        <w:keepLines w:val="0"/>
        <w:pageBreakBefore w:val="0"/>
        <w:kinsoku/>
        <w:wordWrap/>
        <w:overflowPunct/>
        <w:topLinePunct w:val="0"/>
        <w:autoSpaceDE/>
        <w:autoSpaceDN/>
        <w:bidi w:val="0"/>
        <w:adjustRightInd/>
        <w:snapToGrid/>
        <w:spacing w:beforeLines="0" w:beforeAutospacing="0" w:afterLines="0" w:afterAutospacing="0" w:line="64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黑体" w:hAnsi="黑体" w:eastAsia="黑体" w:cs="黑体"/>
          <w:i w:val="0"/>
          <w:caps w:val="0"/>
          <w:color w:val="000000"/>
          <w:spacing w:val="0"/>
          <w:kern w:val="0"/>
          <w:sz w:val="32"/>
          <w:szCs w:val="32"/>
          <w:lang w:val="en-US" w:eastAsia="zh-CN" w:bidi="ar"/>
        </w:rPr>
        <w:t xml:space="preserve">第七条  </w:t>
      </w:r>
      <w:r>
        <w:rPr>
          <w:rFonts w:hint="eastAsia" w:ascii="仿宋_GB2312" w:hAnsi="仿宋_GB2312" w:eastAsia="仿宋_GB2312" w:cs="仿宋_GB2312"/>
          <w:i w:val="0"/>
          <w:caps w:val="0"/>
          <w:color w:val="000000"/>
          <w:spacing w:val="0"/>
          <w:kern w:val="0"/>
          <w:sz w:val="32"/>
          <w:szCs w:val="32"/>
          <w:lang w:val="en-US" w:eastAsia="zh-CN" w:bidi="ar"/>
        </w:rPr>
        <w:t>各</w:t>
      </w: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州</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县（市、区、特区）</w:t>
      </w:r>
      <w:r>
        <w:rPr>
          <w:rFonts w:hint="eastAsia" w:ascii="仿宋_GB2312" w:hAnsi="仿宋_GB2312" w:eastAsia="仿宋_GB2312" w:cs="仿宋_GB2312"/>
          <w:color w:val="000000"/>
          <w:sz w:val="32"/>
          <w:szCs w:val="32"/>
          <w:highlight w:val="none"/>
        </w:rPr>
        <w:t>财政部门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民政部门</w:t>
      </w:r>
      <w:r>
        <w:rPr>
          <w:rFonts w:hint="eastAsia" w:ascii="仿宋_GB2312" w:hAnsi="仿宋_GB2312" w:eastAsia="仿宋_GB2312" w:cs="仿宋_GB2312"/>
          <w:color w:val="000000"/>
          <w:sz w:val="32"/>
          <w:szCs w:val="32"/>
        </w:rPr>
        <w:t>收到省级补助资金后，结合年度工作绩效目标，制定本地区资金分配方案，按规定及时拨付资金。</w:t>
      </w:r>
    </w:p>
    <w:p>
      <w:pPr>
        <w:keepNext w:val="0"/>
        <w:keepLines w:val="0"/>
        <w:pageBreakBefore w:val="0"/>
        <w:kinsoku/>
        <w:wordWrap/>
        <w:overflowPunct/>
        <w:topLinePunct w:val="0"/>
        <w:autoSpaceDE/>
        <w:autoSpaceDN/>
        <w:bidi w:val="0"/>
        <w:adjustRightInd/>
        <w:snapToGrid/>
        <w:spacing w:beforeLines="0" w:beforeAutospacing="0" w:afterLines="0" w:afterAutospacing="0" w:line="640" w:lineRule="exact"/>
        <w:ind w:left="0" w:leftChars="0" w:right="0" w:rightChars="0" w:firstLine="645"/>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eastAsia="zh-CN"/>
        </w:rPr>
        <w:t>第八条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补助资金支付按照国库集中支付制度有关规定执行。</w:t>
      </w:r>
    </w:p>
    <w:p>
      <w:pPr>
        <w:keepNext w:val="0"/>
        <w:keepLines w:val="0"/>
        <w:pageBreakBefore w:val="0"/>
        <w:kinsoku/>
        <w:wordWrap/>
        <w:overflowPunct/>
        <w:topLinePunct w:val="0"/>
        <w:autoSpaceDE/>
        <w:autoSpaceDN/>
        <w:bidi w:val="0"/>
        <w:adjustRightInd/>
        <w:snapToGrid/>
        <w:spacing w:beforeLines="0" w:beforeAutospacing="0" w:afterLines="0" w:afterAutospacing="0" w:line="640" w:lineRule="exact"/>
        <w:ind w:left="0" w:leftChars="0" w:right="0" w:rightChars="0" w:firstLine="645"/>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eastAsia="zh-CN"/>
        </w:rPr>
        <w:t>第九条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补助资金纳入贵州省惠民惠农财政补贴“一卡通”集中统发监管系统，由县级财政部门按照同级民政部门审定的名单、金额和集中统发目录规定的频次，发放到补贴对象个人账户</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640" w:lineRule="exact"/>
        <w:ind w:left="0" w:leftChars="0" w:right="0" w:rightChars="0" w:firstLine="665"/>
        <w:textAlignment w:val="auto"/>
        <w:outlineLvl w:val="9"/>
        <w:rPr>
          <w:rFonts w:hint="default" w:ascii="黑体" w:hAnsi="黑体" w:eastAsia="黑体" w:cs="黑体"/>
          <w:i w:val="0"/>
          <w:caps w:val="0"/>
          <w:color w:val="000000"/>
          <w:spacing w:val="0"/>
          <w:kern w:val="0"/>
          <w:sz w:val="32"/>
          <w:szCs w:val="32"/>
          <w:u w:val="single"/>
          <w:lang w:val="en-US" w:eastAsia="zh-CN" w:bidi="ar"/>
        </w:rPr>
      </w:pPr>
      <w:r>
        <w:rPr>
          <w:rFonts w:hint="eastAsia" w:ascii="黑体" w:hAnsi="黑体" w:eastAsia="黑体" w:cs="黑体"/>
          <w:i w:val="0"/>
          <w:caps w:val="0"/>
          <w:color w:val="000000"/>
          <w:spacing w:val="0"/>
          <w:kern w:val="0"/>
          <w:sz w:val="32"/>
          <w:szCs w:val="32"/>
          <w:lang w:val="en-US" w:eastAsia="zh-CN" w:bidi="ar"/>
        </w:rPr>
        <w:t xml:space="preserve">第十条  </w:t>
      </w:r>
      <w:r>
        <w:rPr>
          <w:rFonts w:hint="eastAsia" w:ascii="仿宋_GB2312" w:hAnsi="仿宋_GB2312" w:eastAsia="仿宋_GB2312" w:cs="仿宋_GB2312"/>
          <w:color w:val="000000"/>
          <w:sz w:val="32"/>
          <w:szCs w:val="32"/>
          <w:lang w:val="en-US" w:eastAsia="zh-CN"/>
        </w:rPr>
        <w:t>享受补助资金的老年人去世或迁出本省的，从去世日或迁出日起次月停止发放</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Calibri" w:eastAsia="仿宋_GB2312" w:cs="Times New Roman"/>
          <w:sz w:val="32"/>
          <w:szCs w:val="32"/>
        </w:rPr>
        <w:t>省财政厅</w:t>
      </w:r>
      <w:r>
        <w:rPr>
          <w:rFonts w:hint="eastAsia" w:ascii="仿宋_GB2312" w:hAnsi="Calibri" w:eastAsia="仿宋_GB2312" w:cs="Times New Roman"/>
          <w:sz w:val="32"/>
          <w:szCs w:val="32"/>
          <w:lang w:val="en-US" w:eastAsia="zh-CN"/>
        </w:rPr>
        <w:t>会同省民政厅</w:t>
      </w:r>
      <w:r>
        <w:rPr>
          <w:rFonts w:hint="eastAsia" w:ascii="仿宋_GB2312" w:hAnsi="Calibri" w:eastAsia="仿宋_GB2312" w:cs="Times New Roman"/>
          <w:sz w:val="32"/>
          <w:szCs w:val="32"/>
        </w:rPr>
        <w:t>根据预算管理规定，</w:t>
      </w:r>
      <w:r>
        <w:rPr>
          <w:rFonts w:hint="eastAsia" w:ascii="仿宋_GB2312" w:hAnsi="Calibri" w:eastAsia="仿宋_GB2312" w:cs="Times New Roman"/>
          <w:sz w:val="32"/>
          <w:szCs w:val="32"/>
          <w:lang w:val="en-US" w:eastAsia="zh-CN"/>
        </w:rPr>
        <w:t>按当年补助资金实际下达数的一定比例安排</w:t>
      </w:r>
      <w:r>
        <w:rPr>
          <w:rFonts w:hint="eastAsia" w:ascii="仿宋_GB2312" w:hAnsi="Calibri" w:eastAsia="仿宋_GB2312" w:cs="Times New Roman"/>
          <w:sz w:val="32"/>
          <w:szCs w:val="32"/>
        </w:rPr>
        <w:t>下一年度补助资金预算</w:t>
      </w:r>
      <w:r>
        <w:rPr>
          <w:rFonts w:hint="eastAsia" w:ascii="仿宋_GB2312" w:hAnsi="Calibri" w:eastAsia="仿宋_GB2312" w:cs="Times New Roman"/>
          <w:sz w:val="32"/>
          <w:szCs w:val="32"/>
          <w:lang w:val="en-US" w:eastAsia="zh-CN"/>
        </w:rPr>
        <w:t>，在规定时限内</w:t>
      </w:r>
      <w:r>
        <w:rPr>
          <w:rFonts w:hint="eastAsia" w:ascii="仿宋_GB2312" w:hAnsi="Calibri" w:eastAsia="仿宋_GB2312" w:cs="Times New Roman"/>
          <w:sz w:val="32"/>
          <w:szCs w:val="32"/>
        </w:rPr>
        <w:t>提前下达</w:t>
      </w: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州</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县（市、区、特区）</w:t>
      </w:r>
      <w:r>
        <w:rPr>
          <w:rFonts w:hint="eastAsia" w:ascii="仿宋_GB2312" w:hAnsi="Calibri" w:eastAsia="仿宋_GB2312" w:cs="Times New Roman"/>
          <w:sz w:val="32"/>
          <w:szCs w:val="32"/>
        </w:rPr>
        <w:t>财政部门</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民政部门</w:t>
      </w:r>
      <w:r>
        <w:rPr>
          <w:rFonts w:hint="eastAsia" w:ascii="仿宋_GB2312" w:hAnsi="Calibri" w:eastAsia="仿宋_GB2312" w:cs="Times New Roman"/>
          <w:sz w:val="32"/>
          <w:szCs w:val="32"/>
        </w:rPr>
        <w:t>。</w:t>
      </w: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州</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县（市、区、特区）</w:t>
      </w:r>
      <w:r>
        <w:rPr>
          <w:rFonts w:hint="eastAsia" w:ascii="仿宋_GB2312" w:hAnsi="Calibri" w:eastAsia="仿宋_GB2312" w:cs="Times New Roman"/>
          <w:sz w:val="32"/>
          <w:szCs w:val="32"/>
        </w:rPr>
        <w:t>应将提前下达的补助资金全部纳入本级年度预算，提高预算的完整性。</w:t>
      </w:r>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640" w:lineRule="exact"/>
        <w:ind w:left="0" w:leftChars="0" w:right="0" w:rightChars="0" w:firstLine="645" w:firstLineChars="0"/>
        <w:textAlignment w:val="auto"/>
        <w:outlineLvl w:val="9"/>
        <w:rPr>
          <w:rFonts w:hint="default" w:ascii="仿宋_GB2312" w:hAnsi="Calibri"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第十二条</w:t>
      </w:r>
      <w:r>
        <w:rPr>
          <w:rFonts w:hint="eastAsia" w:ascii="仿宋_GB2312" w:hAnsi="Calibri" w:eastAsia="仿宋_GB2312" w:cs="Times New Roman"/>
          <w:color w:val="000000"/>
          <w:sz w:val="32"/>
          <w:szCs w:val="32"/>
          <w:lang w:val="en-US" w:eastAsia="zh-CN"/>
        </w:rPr>
        <w:t xml:space="preserve">  </w:t>
      </w:r>
      <w:r>
        <w:rPr>
          <w:rFonts w:hint="eastAsia" w:ascii="仿宋_GB2312" w:hAnsi="仿宋_GB2312" w:eastAsia="仿宋_GB2312" w:cs="仿宋_GB2312"/>
          <w:i w:val="0"/>
          <w:caps w:val="0"/>
          <w:color w:val="000000"/>
          <w:spacing w:val="0"/>
          <w:kern w:val="0"/>
          <w:sz w:val="32"/>
          <w:szCs w:val="32"/>
          <w:lang w:val="en-US" w:eastAsia="zh-CN" w:bidi="ar"/>
        </w:rPr>
        <w:t>各</w:t>
      </w: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州</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县（市、区、特区）</w:t>
      </w:r>
      <w:r>
        <w:rPr>
          <w:rFonts w:hint="eastAsia" w:ascii="仿宋_GB2312" w:hAnsi="仿宋_GB2312" w:eastAsia="仿宋_GB2312" w:cs="仿宋_GB2312"/>
          <w:color w:val="000000"/>
          <w:sz w:val="32"/>
          <w:szCs w:val="32"/>
        </w:rPr>
        <w:t>财政、民政部门</w:t>
      </w:r>
      <w:r>
        <w:rPr>
          <w:rFonts w:hint="eastAsia" w:ascii="仿宋_GB2312" w:hAnsi="仿宋_GB2312" w:eastAsia="仿宋_GB2312" w:cs="仿宋_GB2312"/>
          <w:i w:val="0"/>
          <w:caps w:val="0"/>
          <w:color w:val="000000"/>
          <w:spacing w:val="0"/>
          <w:kern w:val="0"/>
          <w:sz w:val="32"/>
          <w:szCs w:val="32"/>
          <w:lang w:val="en-US" w:eastAsia="zh-CN" w:bidi="ar"/>
        </w:rPr>
        <w:t>应</w:t>
      </w:r>
      <w:r>
        <w:rPr>
          <w:rFonts w:hint="eastAsia" w:ascii="仿宋_GB2312" w:hAnsi="仿宋_GB2312" w:eastAsia="仿宋_GB2312" w:cs="仿宋_GB2312"/>
          <w:color w:val="000000"/>
          <w:sz w:val="32"/>
          <w:szCs w:val="32"/>
        </w:rPr>
        <w:t>严格按规定使用</w:t>
      </w:r>
      <w:r>
        <w:rPr>
          <w:rFonts w:hint="eastAsia" w:ascii="仿宋_GB2312" w:hAnsi="仿宋_GB2312" w:eastAsia="仿宋_GB2312" w:cs="仿宋_GB2312"/>
          <w:color w:val="000000"/>
          <w:sz w:val="32"/>
          <w:szCs w:val="32"/>
          <w:lang w:eastAsia="zh-CN"/>
        </w:rPr>
        <w:t>补助</w:t>
      </w:r>
      <w:r>
        <w:rPr>
          <w:rFonts w:hint="eastAsia" w:ascii="仿宋_GB2312" w:hAnsi="仿宋_GB2312" w:eastAsia="仿宋_GB2312" w:cs="仿宋_GB2312"/>
          <w:color w:val="000000"/>
          <w:sz w:val="32"/>
          <w:szCs w:val="32"/>
        </w:rPr>
        <w:t>资金，不得擅自扩大支出范围，</w:t>
      </w:r>
      <w:r>
        <w:rPr>
          <w:rFonts w:hint="eastAsia" w:ascii="仿宋_GB2312" w:hAnsi="仿宋_GB2312" w:eastAsia="仿宋_GB2312" w:cs="仿宋_GB2312"/>
          <w:i w:val="0"/>
          <w:caps w:val="0"/>
          <w:color w:val="000000"/>
          <w:spacing w:val="0"/>
          <w:kern w:val="0"/>
          <w:sz w:val="32"/>
          <w:szCs w:val="32"/>
          <w:lang w:val="en-US" w:eastAsia="zh-CN" w:bidi="ar"/>
        </w:rPr>
        <w:t>不得以任何形式挤占、挪用、截留和滞留</w:t>
      </w:r>
      <w:r>
        <w:rPr>
          <w:rFonts w:hint="eastAsia" w:ascii="仿宋_GB2312" w:hAnsi="仿宋_GB2312" w:eastAsia="仿宋_GB2312" w:cs="仿宋_GB2312"/>
          <w:sz w:val="32"/>
          <w:szCs w:val="32"/>
          <w:u w:val="none"/>
          <w:lang w:val="en-US" w:eastAsia="zh-CN"/>
        </w:rPr>
        <w:t>和虚报冒领，不得采取以拨代支、虚列支出等方式提高预算执行进度，</w:t>
      </w:r>
      <w:r>
        <w:rPr>
          <w:rFonts w:hint="eastAsia" w:ascii="仿宋_GB2312" w:hAnsi="仿宋_GB2312" w:eastAsia="仿宋_GB2312" w:cs="仿宋_GB2312"/>
          <w:i w:val="0"/>
          <w:caps w:val="0"/>
          <w:color w:val="000000"/>
          <w:spacing w:val="0"/>
          <w:sz w:val="32"/>
          <w:szCs w:val="32"/>
          <w:shd w:val="clear" w:color="auto" w:fill="FFFFFF"/>
        </w:rPr>
        <w:t>不得违规将资金支付至预算单位实有资金银行账户、代管资金等财政专户、开发区（园区）或乡镇账户、平台公司账户和共管账户</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color w:val="000000"/>
          <w:sz w:val="32"/>
          <w:szCs w:val="32"/>
          <w:u w:val="none"/>
        </w:rPr>
        <w:t>不得以任何形式</w:t>
      </w:r>
      <w:r>
        <w:rPr>
          <w:rFonts w:hint="eastAsia" w:ascii="仿宋_GB2312" w:hAnsi="仿宋_GB2312" w:eastAsia="仿宋_GB2312" w:cs="仿宋_GB2312"/>
          <w:sz w:val="32"/>
          <w:szCs w:val="32"/>
          <w:u w:val="none"/>
          <w:lang w:val="en-US" w:eastAsia="zh-CN"/>
        </w:rPr>
        <w:t>向补助对象收取任何管理费用</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sz w:val="32"/>
          <w:szCs w:val="32"/>
          <w:u w:val="none"/>
          <w:lang w:val="en-US" w:eastAsia="zh-CN"/>
        </w:rPr>
        <w:t>补助资金不得用于工作经费，不得用于机构运转、大型设备购置和基础设施维修改造等支出。</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黑体" w:hAnsi="黑体" w:eastAsia="黑体" w:cs="黑体"/>
          <w:i w:val="0"/>
          <w:caps w:val="0"/>
          <w:color w:val="000000"/>
          <w:spacing w:val="0"/>
          <w:kern w:val="0"/>
          <w:sz w:val="32"/>
          <w:szCs w:val="32"/>
          <w:lang w:val="en-US" w:eastAsia="zh-CN" w:bidi="ar"/>
        </w:rPr>
        <w:t>第十三条</w:t>
      </w:r>
      <w:r>
        <w:rPr>
          <w:rFonts w:hint="eastAsia" w:ascii="仿宋_GB2312" w:hAnsi="仿宋_GB2312" w:eastAsia="仿宋_GB2312" w:cs="仿宋_GB2312"/>
          <w:i w:val="0"/>
          <w:caps w:val="0"/>
          <w:color w:val="000000"/>
          <w:spacing w:val="0"/>
          <w:kern w:val="0"/>
          <w:sz w:val="32"/>
          <w:szCs w:val="32"/>
          <w:lang w:val="en-US" w:eastAsia="zh-CN" w:bidi="ar"/>
        </w:rPr>
        <w:t>　</w:t>
      </w:r>
      <w:r>
        <w:rPr>
          <w:rFonts w:hint="eastAsia" w:ascii="仿宋_GB2312" w:hAnsi="Calibri" w:eastAsia="仿宋_GB2312" w:cs="Times New Roman"/>
          <w:color w:val="000000"/>
          <w:sz w:val="32"/>
          <w:szCs w:val="32"/>
          <w:lang w:val="en-US" w:eastAsia="zh-CN"/>
        </w:rPr>
        <w:t>各</w:t>
      </w: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州</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县（市、区、特区）</w:t>
      </w:r>
      <w:r>
        <w:rPr>
          <w:rFonts w:hint="eastAsia" w:ascii="仿宋_GB2312" w:hAnsi="Calibri" w:eastAsia="仿宋_GB2312" w:cs="Times New Roman"/>
          <w:color w:val="000000"/>
          <w:sz w:val="32"/>
          <w:szCs w:val="32"/>
        </w:rPr>
        <w:t>民政部门</w:t>
      </w:r>
      <w:r>
        <w:rPr>
          <w:rFonts w:hint="eastAsia" w:ascii="仿宋_GB2312" w:hAnsi="Calibri" w:eastAsia="仿宋_GB2312" w:cs="Times New Roman"/>
          <w:color w:val="000000"/>
          <w:sz w:val="32"/>
          <w:szCs w:val="32"/>
          <w:lang w:val="en-US" w:eastAsia="zh-CN"/>
        </w:rPr>
        <w:t>要加强资金日常管理工作，建立规章制度，健全档案资料；</w:t>
      </w:r>
      <w:r>
        <w:rPr>
          <w:rFonts w:hint="eastAsia" w:ascii="仿宋_GB2312" w:eastAsia="仿宋_GB2312" w:cs="Times New Roman"/>
          <w:color w:val="000000"/>
          <w:sz w:val="32"/>
          <w:szCs w:val="32"/>
          <w:lang w:val="en-US" w:eastAsia="zh-CN"/>
        </w:rPr>
        <w:t>负责</w:t>
      </w:r>
      <w:r>
        <w:rPr>
          <w:rFonts w:hint="eastAsia" w:ascii="仿宋_GB2312" w:hAnsi="Calibri" w:eastAsia="仿宋_GB2312" w:cs="Times New Roman"/>
          <w:color w:val="000000"/>
          <w:sz w:val="32"/>
          <w:szCs w:val="32"/>
          <w:lang w:val="en-US" w:eastAsia="zh-CN"/>
        </w:rPr>
        <w:t>对补贴对象实行动态管理，每年对享受补贴的人员情况进行核查，及时办理停发或增发手续。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6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u w:val="none"/>
        </w:rPr>
        <w:t>省民政厅</w:t>
      </w:r>
      <w:r>
        <w:rPr>
          <w:rFonts w:hint="eastAsia" w:ascii="仿宋_GB2312" w:hAnsi="仿宋_GB2312" w:eastAsia="仿宋_GB2312" w:cs="仿宋_GB2312"/>
          <w:color w:val="000000"/>
          <w:sz w:val="32"/>
          <w:szCs w:val="32"/>
          <w:u w:val="none"/>
          <w:lang w:val="en-US" w:eastAsia="zh-CN"/>
        </w:rPr>
        <w:t>在</w:t>
      </w:r>
      <w:r>
        <w:rPr>
          <w:rFonts w:hint="eastAsia" w:ascii="仿宋_GB2312" w:hAnsi="仿宋_GB2312" w:eastAsia="仿宋_GB2312" w:cs="仿宋_GB2312"/>
          <w:color w:val="000000"/>
          <w:sz w:val="32"/>
          <w:szCs w:val="32"/>
        </w:rPr>
        <w:t>年度结束后</w:t>
      </w:r>
      <w:r>
        <w:rPr>
          <w:rFonts w:hint="eastAsia" w:ascii="仿宋_GB2312" w:hAnsi="仿宋_GB2312" w:eastAsia="仿宋_GB2312" w:cs="仿宋_GB2312"/>
          <w:color w:val="000000"/>
          <w:sz w:val="32"/>
          <w:szCs w:val="32"/>
          <w:u w:val="none"/>
          <w:lang w:eastAsia="zh-CN"/>
        </w:rPr>
        <w:t>按规定</w:t>
      </w:r>
      <w:r>
        <w:rPr>
          <w:rFonts w:hint="eastAsia" w:ascii="仿宋_GB2312" w:hAnsi="仿宋_GB2312" w:eastAsia="仿宋_GB2312" w:cs="仿宋_GB2312"/>
          <w:color w:val="000000"/>
          <w:sz w:val="32"/>
          <w:szCs w:val="32"/>
          <w:u w:val="none"/>
        </w:rPr>
        <w:t>组</w:t>
      </w:r>
      <w:r>
        <w:rPr>
          <w:rFonts w:hint="eastAsia" w:ascii="仿宋_GB2312" w:hAnsi="仿宋_GB2312" w:eastAsia="仿宋_GB2312" w:cs="仿宋_GB2312"/>
          <w:color w:val="000000"/>
          <w:sz w:val="32"/>
          <w:szCs w:val="32"/>
        </w:rPr>
        <w:t>织开展</w:t>
      </w:r>
      <w:r>
        <w:rPr>
          <w:rFonts w:hint="eastAsia" w:ascii="仿宋_GB2312" w:hAnsi="仿宋_GB2312" w:eastAsia="仿宋_GB2312" w:cs="仿宋_GB2312"/>
          <w:color w:val="000000"/>
          <w:sz w:val="32"/>
          <w:szCs w:val="32"/>
          <w:lang w:eastAsia="zh-CN"/>
        </w:rPr>
        <w:t>补助</w:t>
      </w:r>
      <w:r>
        <w:rPr>
          <w:rFonts w:hint="eastAsia" w:ascii="仿宋_GB2312" w:hAnsi="仿宋_GB2312" w:eastAsia="仿宋_GB2312" w:cs="仿宋_GB2312"/>
          <w:color w:val="000000"/>
          <w:sz w:val="32"/>
          <w:szCs w:val="32"/>
        </w:rPr>
        <w:t>资金绩效</w:t>
      </w:r>
      <w:r>
        <w:rPr>
          <w:rFonts w:hint="eastAsia" w:ascii="仿宋_GB2312" w:hAnsi="仿宋_GB2312" w:eastAsia="仿宋_GB2312" w:cs="仿宋_GB2312"/>
          <w:color w:val="000000"/>
          <w:sz w:val="32"/>
          <w:szCs w:val="32"/>
          <w:lang w:val="en-US" w:eastAsia="zh-CN"/>
        </w:rPr>
        <w:t>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u w:val="none"/>
        </w:rPr>
        <w:t>省财政厅</w:t>
      </w:r>
      <w:r>
        <w:rPr>
          <w:rFonts w:hint="eastAsia" w:ascii="仿宋_GB2312" w:hAnsi="仿宋_GB2312" w:eastAsia="仿宋_GB2312" w:cs="仿宋_GB2312"/>
          <w:color w:val="000000"/>
          <w:sz w:val="32"/>
          <w:szCs w:val="32"/>
          <w:u w:val="none"/>
          <w:lang w:val="en-US" w:eastAsia="zh-CN"/>
        </w:rPr>
        <w:t>根据工作需要适时组织开展重点绩效评价，</w:t>
      </w:r>
      <w:r>
        <w:rPr>
          <w:rFonts w:hint="eastAsia" w:ascii="仿宋_GB2312" w:hAnsi="仿宋_GB2312" w:eastAsia="仿宋_GB2312" w:cs="仿宋_GB2312"/>
          <w:sz w:val="32"/>
          <w:szCs w:val="32"/>
        </w:rPr>
        <w:t>绩效评价结果作为调整政策、督促指导</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改进工作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分配</w:t>
      </w:r>
      <w:r>
        <w:rPr>
          <w:rFonts w:hint="eastAsia" w:ascii="仿宋_GB2312" w:hAnsi="仿宋_GB2312" w:eastAsia="仿宋_GB2312" w:cs="仿宋_GB2312"/>
          <w:sz w:val="32"/>
          <w:szCs w:val="32"/>
          <w:lang w:eastAsia="zh-CN"/>
        </w:rPr>
        <w:t>省级补助</w:t>
      </w:r>
      <w:r>
        <w:rPr>
          <w:rFonts w:hint="eastAsia" w:ascii="仿宋_GB2312" w:hAnsi="仿宋_GB2312" w:eastAsia="仿宋_GB2312" w:cs="仿宋_GB2312"/>
          <w:sz w:val="32"/>
          <w:szCs w:val="32"/>
        </w:rPr>
        <w:t>资金的重要依据。</w:t>
      </w:r>
    </w:p>
    <w:p>
      <w:pPr>
        <w:keepNext w:val="0"/>
        <w:keepLines w:val="0"/>
        <w:pageBreakBefore w:val="0"/>
        <w:kinsoku/>
        <w:wordWrap/>
        <w:overflowPunct/>
        <w:topLinePunct w:val="0"/>
        <w:autoSpaceDE/>
        <w:autoSpaceDN/>
        <w:bidi w:val="0"/>
        <w:adjustRightInd/>
        <w:snapToGrid/>
        <w:spacing w:line="640" w:lineRule="exact"/>
        <w:ind w:firstLine="645"/>
        <w:jc w:val="both"/>
        <w:textAlignment w:val="auto"/>
        <w:rPr>
          <w:rFonts w:ascii="仿宋_GB2312" w:hAnsi="Calibri" w:eastAsia="仿宋_GB2312" w:cs="Times New Roman"/>
          <w:sz w:val="32"/>
          <w:szCs w:val="32"/>
          <w:u w:val="single"/>
        </w:rPr>
      </w:pPr>
      <w:r>
        <w:rPr>
          <w:rFonts w:hint="eastAsia" w:ascii="黑体" w:hAnsi="黑体" w:eastAsia="黑体" w:cs="黑体"/>
          <w:i w:val="0"/>
          <w:caps w:val="0"/>
          <w:color w:val="000000"/>
          <w:spacing w:val="0"/>
          <w:kern w:val="0"/>
          <w:sz w:val="32"/>
          <w:szCs w:val="32"/>
          <w:lang w:val="en-US" w:eastAsia="zh-CN" w:bidi="ar"/>
        </w:rPr>
        <w:t xml:space="preserve">第十五条  </w:t>
      </w:r>
      <w:r>
        <w:rPr>
          <w:rFonts w:hint="eastAsia" w:ascii="仿宋_GB2312" w:hAnsi="仿宋_GB2312" w:eastAsia="仿宋_GB2312" w:cs="仿宋_GB2312"/>
          <w:color w:val="000000"/>
          <w:sz w:val="32"/>
          <w:szCs w:val="32"/>
          <w:lang w:val="en-US" w:eastAsia="zh-CN"/>
        </w:rPr>
        <w:t>各</w:t>
      </w: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州</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县（市、区、特区）</w:t>
      </w:r>
      <w:r>
        <w:rPr>
          <w:rFonts w:hint="eastAsia" w:ascii="仿宋_GB2312" w:hAnsi="仿宋_GB2312" w:eastAsia="仿宋_GB2312" w:cs="仿宋_GB2312"/>
          <w:color w:val="000000"/>
          <w:sz w:val="32"/>
          <w:szCs w:val="32"/>
          <w:lang w:val="en-US" w:eastAsia="zh-CN"/>
        </w:rPr>
        <w:t>财政、民政部门应当建立健全资金监管机制，定期对补助资金的使用管理情况进行检查，及时发现和纠正有关问题。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64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color w:val="000000"/>
          <w:sz w:val="32"/>
          <w:szCs w:val="32"/>
          <w:lang w:val="en-US" w:eastAsia="zh-CN"/>
        </w:rPr>
        <w:t>第十六条</w:t>
      </w:r>
      <w:r>
        <w:rPr>
          <w:rFonts w:hint="eastAsia" w:ascii="仿宋_GB2312" w:hAnsi="仿宋_GB2312" w:eastAsia="仿宋_GB2312" w:cs="仿宋_GB2312"/>
          <w:color w:val="000000"/>
          <w:sz w:val="32"/>
          <w:szCs w:val="32"/>
          <w:lang w:val="en-US" w:eastAsia="zh-CN"/>
        </w:rPr>
        <w:t xml:space="preserve">  各</w:t>
      </w:r>
      <w:r>
        <w:rPr>
          <w:rFonts w:hint="eastAsia" w:ascii="仿宋_GB2312" w:hAnsi="仿宋_GB2312" w:eastAsia="仿宋_GB2312" w:cs="仿宋_GB2312"/>
          <w:color w:val="000000"/>
          <w:sz w:val="32"/>
          <w:szCs w:val="32"/>
          <w:highlight w:val="none"/>
          <w:lang w:val="en-US" w:eastAsia="zh-CN"/>
        </w:rPr>
        <w:t>级</w:t>
      </w:r>
      <w:r>
        <w:rPr>
          <w:rFonts w:hint="eastAsia" w:ascii="仿宋_GB2312" w:hAnsi="仿宋_GB2312" w:eastAsia="仿宋_GB2312" w:cs="仿宋_GB2312"/>
          <w:color w:val="000000"/>
          <w:sz w:val="32"/>
          <w:szCs w:val="32"/>
          <w:lang w:val="en-US" w:eastAsia="zh-CN"/>
        </w:rPr>
        <w:t>财政、民政部门应当自觉接受审计、纪检监察等部门的监督和社会监督</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40"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各</w:t>
      </w:r>
      <w:r>
        <w:rPr>
          <w:rFonts w:hint="eastAsia" w:ascii="仿宋_GB2312" w:hAnsi="仿宋_GB2312" w:eastAsia="仿宋_GB2312" w:cs="仿宋_GB2312"/>
          <w:color w:val="000000"/>
          <w:sz w:val="32"/>
          <w:szCs w:val="32"/>
          <w:highlight w:val="none"/>
          <w:lang w:val="en-US" w:eastAsia="zh-CN"/>
        </w:rPr>
        <w:t>级</w:t>
      </w:r>
      <w:r>
        <w:rPr>
          <w:rFonts w:hint="eastAsia" w:ascii="仿宋_GB2312" w:hAnsi="仿宋_GB2312" w:eastAsia="仿宋_GB2312" w:cs="仿宋_GB2312"/>
          <w:sz w:val="32"/>
          <w:szCs w:val="32"/>
          <w:u w:val="none"/>
          <w:lang w:val="en-US" w:eastAsia="zh-CN"/>
        </w:rPr>
        <w:t>财政、民政部门及其工作人员在补助资金的分配审核，使用管理等工作中，存在违反本办法规定的行为，以及其他滥用职权、玩忽职守、徇私舞弊等违法违规行为的，依法依规追究相应责任。涉嫌犯罪的，依法移送有关机关处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Calibri"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仿宋_GB2312" w:eastAsia="仿宋_GB2312" w:cs="Times New Roman"/>
          <w:sz w:val="32"/>
          <w:szCs w:val="32"/>
          <w:lang w:val="en-US" w:eastAsia="zh-CN"/>
        </w:rPr>
        <w:t xml:space="preserve">  </w:t>
      </w:r>
      <w:r>
        <w:rPr>
          <w:rFonts w:hint="eastAsia" w:ascii="仿宋_GB2312" w:hAnsi="仿宋_GB2312" w:eastAsia="仿宋_GB2312" w:cs="仿宋_GB2312"/>
          <w:sz w:val="32"/>
          <w:szCs w:val="32"/>
        </w:rPr>
        <w:t>本办法由省财政厅</w:t>
      </w:r>
      <w:r>
        <w:rPr>
          <w:rFonts w:hint="eastAsia" w:ascii="仿宋_GB2312" w:hAnsi="仿宋_GB2312" w:eastAsia="仿宋_GB2312" w:cs="仿宋_GB2312"/>
          <w:sz w:val="32"/>
          <w:szCs w:val="32"/>
          <w:lang w:val="en-US" w:eastAsia="zh-CN"/>
        </w:rPr>
        <w:t>会同</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民政厅</w:t>
      </w:r>
      <w:r>
        <w:rPr>
          <w:rFonts w:hint="eastAsia" w:ascii="仿宋_GB2312" w:hAnsi="仿宋_GB2312" w:eastAsia="仿宋_GB2312" w:cs="仿宋_GB2312"/>
          <w:sz w:val="32"/>
          <w:szCs w:val="32"/>
        </w:rPr>
        <w:t>负责解释。</w:t>
      </w:r>
    </w:p>
    <w:p>
      <w:pPr>
        <w:keepNext w:val="0"/>
        <w:keepLines w:val="0"/>
        <w:pageBreakBefore w:val="0"/>
        <w:kinsoku/>
        <w:wordWrap/>
        <w:overflowPunct/>
        <w:topLinePunct w:val="0"/>
        <w:autoSpaceDE/>
        <w:autoSpaceDN/>
        <w:bidi w:val="0"/>
        <w:adjustRightInd/>
        <w:snapToGrid/>
        <w:spacing w:beforeLines="0" w:afterLines="0" w:line="640" w:lineRule="exact"/>
        <w:ind w:firstLine="640"/>
        <w:textAlignment w:val="auto"/>
        <w:outlineLvl w:val="9"/>
        <w:rPr>
          <w:rFonts w:hint="eastAsia"/>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省财政厅 省民政厅</w:t>
      </w:r>
      <w:r>
        <w:rPr>
          <w:rFonts w:hint="eastAsia" w:ascii="仿宋_GB2312" w:hAnsi="仿宋_GB2312" w:eastAsia="仿宋_GB2312" w:cs="仿宋_GB2312"/>
          <w:sz w:val="32"/>
          <w:szCs w:val="32"/>
        </w:rPr>
        <w:t>关于印发〈贵州省百岁老人生活补助资金管理暂行办法〉的通知》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黔财社〔2020〕83号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同时废止。</w:t>
      </w:r>
    </w:p>
    <w:p>
      <w:pPr>
        <w:rPr>
          <w:rFonts w:hint="eastAsia"/>
        </w:rPr>
      </w:pPr>
    </w:p>
    <w:sectPr>
      <w:headerReference r:id="rId4" w:type="default"/>
      <w:footerReference r:id="rId5" w:type="default"/>
      <w:pgSz w:w="11906" w:h="16838"/>
      <w:pgMar w:top="1928" w:right="1474" w:bottom="1928" w:left="1587" w:header="851" w:footer="147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F0E79"/>
    <w:rsid w:val="028815FF"/>
    <w:rsid w:val="03C4456E"/>
    <w:rsid w:val="052C509F"/>
    <w:rsid w:val="09235DFA"/>
    <w:rsid w:val="09FA3958"/>
    <w:rsid w:val="0A1B23C3"/>
    <w:rsid w:val="0B4B67E1"/>
    <w:rsid w:val="0D001271"/>
    <w:rsid w:val="0D6D02A2"/>
    <w:rsid w:val="111562DA"/>
    <w:rsid w:val="123B6C50"/>
    <w:rsid w:val="15294B78"/>
    <w:rsid w:val="177A5B29"/>
    <w:rsid w:val="17CC1694"/>
    <w:rsid w:val="19553A9D"/>
    <w:rsid w:val="19AA18CD"/>
    <w:rsid w:val="1CB279D3"/>
    <w:rsid w:val="21B94E00"/>
    <w:rsid w:val="224D7EA3"/>
    <w:rsid w:val="23BD39B2"/>
    <w:rsid w:val="23C634DC"/>
    <w:rsid w:val="297F18F6"/>
    <w:rsid w:val="2ABC4A5C"/>
    <w:rsid w:val="2EAF4126"/>
    <w:rsid w:val="311B06B8"/>
    <w:rsid w:val="31C94AF6"/>
    <w:rsid w:val="3AF209A9"/>
    <w:rsid w:val="3B2B62A3"/>
    <w:rsid w:val="3BE23C25"/>
    <w:rsid w:val="3E767F12"/>
    <w:rsid w:val="3FD33D3D"/>
    <w:rsid w:val="3FF778A8"/>
    <w:rsid w:val="419E6238"/>
    <w:rsid w:val="44C94C51"/>
    <w:rsid w:val="471B1F47"/>
    <w:rsid w:val="4BA24FEC"/>
    <w:rsid w:val="4F9C7120"/>
    <w:rsid w:val="50504726"/>
    <w:rsid w:val="540B4E39"/>
    <w:rsid w:val="57B622CC"/>
    <w:rsid w:val="5A0A4891"/>
    <w:rsid w:val="5D2E58A8"/>
    <w:rsid w:val="6052109A"/>
    <w:rsid w:val="60D749BF"/>
    <w:rsid w:val="60E23C90"/>
    <w:rsid w:val="619C3692"/>
    <w:rsid w:val="6442722E"/>
    <w:rsid w:val="697F0362"/>
    <w:rsid w:val="6C347B9B"/>
    <w:rsid w:val="6D4F0E79"/>
    <w:rsid w:val="6E3D0A9F"/>
    <w:rsid w:val="72C60A09"/>
    <w:rsid w:val="771A553B"/>
    <w:rsid w:val="7A894152"/>
    <w:rsid w:val="7AFE6ED9"/>
    <w:rsid w:val="7D864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4">
    <w:name w:val="Body Text"/>
    <w:basedOn w:val="1"/>
    <w:qFormat/>
    <w:uiPriority w:val="0"/>
    <w:pPr>
      <w:spacing w:after="120"/>
    </w:pPr>
  </w:style>
  <w:style w:type="paragraph" w:styleId="5">
    <w:name w:val="Body Text Indent"/>
    <w:basedOn w:val="1"/>
    <w:qFormat/>
    <w:uiPriority w:val="0"/>
    <w:pPr>
      <w:ind w:firstLine="720"/>
    </w:pPr>
    <w:rPr>
      <w:rFonts w:ascii="Times New Roman" w:hAnsi="Times New Roman" w:eastAsia="仿宋_GB2312" w:cs="Times New Roman"/>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2020-06-14T11:11:00Z</dcterms:created>
  <dc:creator>zy</dc:creator>
  <cp:lastModifiedBy>Administrator</cp:lastModifiedBy>
  <cp:lastPrinted>2022-08-23T03:14:00Z</cp:lastPrinted>
  <dcterms:modified xsi:type="dcterms:W3CDTF">2023-01-17T08:19:02Z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EC65A42768564A2691014E4D36CC5FA1</vt:lpwstr>
  </property>
</Properties>
</file>