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1240" w:line="240" w:lineRule="auto"/>
        <w:ind w:left="0" w:right="0" w:firstLine="0"/>
        <w:jc w:val="center"/>
      </w:pPr>
      <w:bookmarkStart w:id="33" w:name="_GoBack"/>
      <w:bookmarkEnd w:id="33"/>
      <w:r>
        <w:rPr>
          <w:color w:val="000000"/>
          <w:spacing w:val="0"/>
          <w:w w:val="100"/>
          <w:position w:val="0"/>
        </w:rPr>
        <w:t>财资环〔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36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3"/>
      <w:bookmarkStart w:id="1" w:name="bookmark4"/>
      <w:bookmarkStart w:id="2" w:name="bookmark5"/>
      <w:r>
        <w:rPr>
          <w:color w:val="000000"/>
          <w:spacing w:val="0"/>
          <w:w w:val="100"/>
          <w:position w:val="0"/>
        </w:rPr>
        <w:t>财政部 国家林业和草原局关于印发《林业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改革发展资金管理办法》的通知</w:t>
      </w:r>
      <w:bookmarkEnd w:id="0"/>
      <w:bookmarkEnd w:id="1"/>
      <w:bookmarkEnd w:id="2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77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各省、自治区、直辖市、计划单列市财政厅（局）、林业和草原主 管部门，新疆生产建设兵团财政局、林业和草原主管部门，内蒙 古、大兴安岭森工（林业）集团公司：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776" w:lineRule="exact"/>
        <w:ind w:left="0" w:right="0" w:firstLine="620"/>
        <w:jc w:val="both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为进一步规范中央财政林业改革发展资金管理，财政部、国 家林业和草原局制定了《林业改革发展资金管理办法》。现予印发, 请遵照执行。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776" w:lineRule="exact"/>
        <w:ind w:left="0" w:right="0" w:firstLine="620"/>
        <w:jc w:val="both"/>
        <w:rPr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财 政 部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</w:t>
      </w:r>
      <w:r>
        <w:rPr>
          <w:spacing w:val="0"/>
          <w:w w:val="100"/>
          <w:position w:val="0"/>
        </w:rPr>
        <w:t>国家林业和草原局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776" w:lineRule="exact"/>
        <w:ind w:left="0" w:right="0" w:firstLine="620"/>
        <w:jc w:val="both"/>
        <w:rPr>
          <w:rFonts w:hint="default" w:eastAsia="宋体"/>
          <w:spacing w:val="0"/>
          <w:w w:val="100"/>
          <w:position w:val="0"/>
          <w:lang w:val="en-US" w:eastAsia="zh-CN"/>
        </w:rPr>
      </w:pPr>
      <w:r>
        <w:rPr>
          <w:rFonts w:hint="eastAsia"/>
          <w:spacing w:val="0"/>
          <w:w w:val="100"/>
          <w:position w:val="0"/>
          <w:lang w:val="en-US" w:eastAsia="zh-CN"/>
        </w:rPr>
        <w:t xml:space="preserve">                2020年6月2日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776" w:lineRule="exact"/>
        <w:ind w:left="0" w:right="0" w:firstLine="620"/>
        <w:jc w:val="both"/>
        <w:rPr>
          <w:color w:val="000000"/>
          <w:spacing w:val="0"/>
          <w:w w:val="100"/>
          <w:position w:val="0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</w:rPr>
        <w:t>附件：林业改革发展资金管理办法</w:t>
      </w:r>
    </w:p>
    <w:p>
      <w:pPr>
        <w:widowControl w:val="0"/>
        <w:spacing w:line="1" w:lineRule="exact"/>
        <w:sectPr>
          <w:footerReference r:id="rId6" w:type="first"/>
          <w:footerReference r:id="rId5" w:type="default"/>
          <w:footnotePr>
            <w:numFmt w:val="decimal"/>
          </w:footnotePr>
          <w:pgSz w:w="11900" w:h="16840"/>
          <w:pgMar w:top="2133" w:right="1578" w:bottom="2555" w:left="1472" w:header="0" w:footer="3" w:gutter="0"/>
          <w:pgNumType w:start="1"/>
          <w:cols w:space="720" w:num="1"/>
          <w:titlePg/>
          <w:rtlGutter w:val="0"/>
          <w:docGrid w:linePitch="360" w:charSpace="0"/>
        </w:sect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22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附件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8"/>
      <w:bookmarkStart w:id="4" w:name="bookmark6"/>
      <w:bookmarkStart w:id="5" w:name="bookmark7"/>
      <w:r>
        <w:rPr>
          <w:color w:val="000000"/>
          <w:spacing w:val="0"/>
          <w:w w:val="100"/>
          <w:position w:val="0"/>
        </w:rPr>
        <w:t>林业改革发展资金管理办法</w:t>
      </w:r>
      <w:bookmarkEnd w:id="3"/>
      <w:bookmarkEnd w:id="4"/>
      <w:bookmarkEnd w:id="5"/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622" w:lineRule="exact"/>
        <w:ind w:left="0" w:right="0" w:firstLine="0"/>
        <w:jc w:val="center"/>
      </w:pPr>
      <w:bookmarkStart w:id="6" w:name="bookmark10"/>
      <w:bookmarkStart w:id="7" w:name="bookmark11"/>
      <w:bookmarkStart w:id="8" w:name="bookmark9"/>
      <w:r>
        <w:rPr>
          <w:color w:val="000000"/>
          <w:spacing w:val="0"/>
          <w:w w:val="100"/>
          <w:position w:val="0"/>
        </w:rPr>
        <w:t>第一章总则</w:t>
      </w:r>
      <w:bookmarkEnd w:id="6"/>
      <w:bookmarkEnd w:id="7"/>
      <w:bookmarkEnd w:id="8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2" w:lineRule="exact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第一条</w:t>
      </w:r>
      <w:r>
        <w:rPr>
          <w:color w:val="000000"/>
          <w:spacing w:val="0"/>
          <w:w w:val="100"/>
          <w:position w:val="0"/>
        </w:rPr>
        <w:t>为加强和规范林业改革发展资金使用管理，提高资 金使用效益，促进林业改革发展，根据《中华人民共和国预算法》、 《中华人民共和国森林法》等法律法规和有关财政管理制度规 定，制定本办法。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第二条</w:t>
      </w:r>
      <w:r>
        <w:rPr>
          <w:color w:val="000000"/>
          <w:spacing w:val="0"/>
          <w:w w:val="100"/>
          <w:position w:val="0"/>
        </w:rPr>
        <w:t>本办法所称林业改革发展资金是指中央预算安排的 用于林业改革发展方面的共同财政事权转移支付资金。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第三条林</w:t>
      </w:r>
      <w:r>
        <w:rPr>
          <w:color w:val="000000"/>
          <w:spacing w:val="0"/>
          <w:w w:val="100"/>
          <w:position w:val="0"/>
        </w:rPr>
        <w:t>业改革发展资金由财政部、国家林业和草原局负 责管理。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财政部负责编制中期财政规划和年度预算草案，审核资金分 配建议方案并下达预算，组织开展预算绩效管理和预算监管，指 导地方加强资金使用管理监督等。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国家林业和草原局负责编制相关规划，提出资金分配建议方 案，会同财政部下达年度任务计划，做好预算绩效管理，督促和 指导地方做好项目和资金使用管理监督工作等。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80"/>
        <w:jc w:val="both"/>
        <w:sectPr>
          <w:footerReference r:id="rId7" w:type="default"/>
          <w:footnotePr>
            <w:numFmt w:val="decimal"/>
          </w:footnotePr>
          <w:pgSz w:w="11900" w:h="16840"/>
          <w:pgMar w:top="1570" w:right="1520" w:bottom="1823" w:left="1546" w:header="1142" w:footer="1395" w:gutter="0"/>
          <w:cols w:space="720" w:num="1"/>
          <w:rtlGutter w:val="0"/>
          <w:docGrid w:linePitch="360" w:charSpace="0"/>
        </w:sectPr>
      </w:pPr>
      <w:r>
        <w:rPr>
          <w:b/>
          <w:bCs/>
          <w:color w:val="000000"/>
          <w:spacing w:val="0"/>
          <w:w w:val="100"/>
          <w:position w:val="0"/>
        </w:rPr>
        <w:t>第四条</w:t>
      </w:r>
      <w:r>
        <w:rPr>
          <w:color w:val="000000"/>
          <w:spacing w:val="0"/>
          <w:w w:val="100"/>
          <w:position w:val="0"/>
        </w:rPr>
        <w:t xml:space="preserve">地方财政部门负责本地区林业改革发展资金的预算 分解下达、组织预算执行、资金使用管理和监督以及预算绩效管 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理工作等。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7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地方林业和草原主管部门根据职能参与本地区林业改革发 展资金分配，负责资金的具体使用管理和监督、项目组织实施及 预算绩效管理具体工作等。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55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第五条 </w:t>
      </w:r>
      <w:r>
        <w:rPr>
          <w:color w:val="000000"/>
          <w:spacing w:val="0"/>
          <w:w w:val="100"/>
          <w:position w:val="0"/>
        </w:rPr>
        <w:t>林业改革发展资金实施期限至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2022</w:t>
      </w:r>
      <w:r>
        <w:rPr>
          <w:color w:val="000000"/>
          <w:spacing w:val="0"/>
          <w:w w:val="100"/>
          <w:position w:val="0"/>
        </w:rPr>
        <w:t>年，到期前由财 政部会同国家林业和草原局评估确定是否继续实施和延续期限。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80" w:line="61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资金年度预算编制以及预算执行中，财政部会同国家林业和 草原局根据政策实施情况和工作需要，开展相关评估工作，根据 评估结果完善资金管理政策。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630" w:lineRule="exact"/>
        <w:ind w:left="0" w:right="0" w:firstLine="0"/>
        <w:jc w:val="center"/>
      </w:pPr>
      <w:bookmarkStart w:id="9" w:name="bookmark14"/>
      <w:bookmarkStart w:id="10" w:name="bookmark13"/>
      <w:bookmarkStart w:id="11" w:name="bookmark12"/>
      <w:r>
        <w:rPr>
          <w:color w:val="000000"/>
          <w:spacing w:val="0"/>
          <w:w w:val="100"/>
          <w:position w:val="0"/>
        </w:rPr>
        <w:t>第二章资金使用范围</w:t>
      </w:r>
      <w:bookmarkEnd w:id="9"/>
      <w:bookmarkEnd w:id="10"/>
      <w:bookmarkEnd w:id="11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第六条林</w:t>
      </w:r>
      <w:r>
        <w:rPr>
          <w:color w:val="000000"/>
          <w:spacing w:val="0"/>
          <w:w w:val="100"/>
          <w:position w:val="0"/>
        </w:rPr>
        <w:t>业改革发展资金主要用于森林资源管护、国土绿 化、国家级自然保护区、湿地等生态保护方面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第七条森</w:t>
      </w:r>
      <w:r>
        <w:rPr>
          <w:color w:val="000000"/>
          <w:spacing w:val="0"/>
          <w:w w:val="100"/>
          <w:position w:val="0"/>
        </w:rPr>
        <w:t>林资源管护支出用于天然林保护管理和森林生态 效益补偿，主要是对国务院批准的《长江上游、黄河上中游地区 天然林资源保护工程二期实施方案》和《东北、内蒙古等重点国 有林区天然林资源保护工程二期实施方案》（林规发〔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2011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21 </w:t>
      </w:r>
      <w:r>
        <w:rPr>
          <w:color w:val="000000"/>
          <w:spacing w:val="0"/>
          <w:w w:val="100"/>
          <w:position w:val="0"/>
        </w:rPr>
        <w:t>号，以下简称《实施方案》）确定的国有林、非国有的地方公益 林，停伐后的天然商品林，国家级公益林和符合国家级公益林区 划界定条件、政策到期的上一轮退耕还生态林等森林资源的保 护、管理以及非国有的国家级公益林权利人的经济补偿等。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第八条</w:t>
      </w:r>
      <w:r>
        <w:rPr>
          <w:color w:val="000000"/>
          <w:spacing w:val="0"/>
          <w:w w:val="100"/>
          <w:position w:val="0"/>
        </w:rPr>
        <w:t>国土绿化支出用于林木良种培育、造林、森林抚育, 规模化防沙治沙试点，沙化土地封禁保护补偿以及油茶、油用牡 丹、文冠果等木本油料营造。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第九条</w:t>
      </w:r>
      <w:r>
        <w:rPr>
          <w:color w:val="000000"/>
          <w:spacing w:val="0"/>
          <w:w w:val="100"/>
          <w:position w:val="0"/>
        </w:rPr>
        <w:t>国家级自然保护区支出用于国家级自然保护区（不 含湿地类型）的生态保护补偿与修复，特种救护、保护设施设备 购置维护与相关治理，专项调查和监测，宣传教育等。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第十条湿</w:t>
      </w:r>
      <w:r>
        <w:rPr>
          <w:color w:val="000000"/>
          <w:spacing w:val="0"/>
          <w:w w:val="100"/>
          <w:position w:val="0"/>
        </w:rPr>
        <w:t>地等生态保护支出用于湿地保护与恢复、退耕还 湿、湿地生态效益补偿等湿地保护修复，森林防火、林业有害生 物防治、林业生产救灾等林业防灾减灾，珍稀濒危野生动物和极 小种群野生植物保护、野生动物疫源疫病监测和保护补偿等国家 重点野生动植物保护（不含国家公园内国家重点野生动植物保 护），以及林业科技推广示范等…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600" w:line="629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第十一条</w:t>
      </w:r>
      <w:r>
        <w:rPr>
          <w:color w:val="000000"/>
          <w:spacing w:val="0"/>
          <w:w w:val="100"/>
          <w:position w:val="0"/>
        </w:rPr>
        <w:t>林业.改革发展资金不得用于兴建楼堂馆所、偿还 举借的债务及其他与林业改革发展无关的支出。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629" w:lineRule="exact"/>
        <w:ind w:left="0" w:right="0" w:firstLine="0"/>
        <w:jc w:val="center"/>
      </w:pPr>
      <w:bookmarkStart w:id="12" w:name="bookmark16"/>
      <w:bookmarkStart w:id="13" w:name="bookmark15"/>
      <w:bookmarkStart w:id="14" w:name="bookmark17"/>
      <w:r>
        <w:rPr>
          <w:color w:val="000000"/>
          <w:spacing w:val="0"/>
          <w:w w:val="100"/>
          <w:position w:val="0"/>
        </w:rPr>
        <w:t>第三章资金分配</w:t>
      </w:r>
      <w:bookmarkEnd w:id="12"/>
      <w:bookmarkEnd w:id="13"/>
      <w:bookmarkEnd w:id="14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第十二条</w:t>
      </w:r>
      <w:r>
        <w:rPr>
          <w:color w:val="000000"/>
          <w:spacing w:val="0"/>
          <w:w w:val="100"/>
          <w:position w:val="0"/>
        </w:rPr>
        <w:t>林业改革发展资金采取因素法分配，其中承担试 点或改革任务的可以采取定额补助。森林资源管护和天然林资源 保护工程区森林抚育、政策到期的上一轮退耕还生态林抚育支出 按照各省（自治区、直辖市、计划单列市，以下统称省）工作任 务、中央补助标准等因素确定补助规模，其他支出按照工作任务、 资源状况、绩效、政策等因素分配，权重分别为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55%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15%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15%</w:t>
      </w:r>
      <w:r>
        <w:rPr>
          <w:color w:val="000000"/>
          <w:spacing w:val="0"/>
          <w:w w:val="100"/>
          <w:position w:val="0"/>
        </w:rPr>
        <w:t xml:space="preserve">、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15%,</w:t>
      </w:r>
      <w:r>
        <w:rPr>
          <w:color w:val="000000"/>
          <w:spacing w:val="0"/>
          <w:w w:val="100"/>
          <w:position w:val="0"/>
        </w:rPr>
        <w:t>可以根据财力状况适当调节。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第十三条 </w:t>
      </w:r>
      <w:r>
        <w:rPr>
          <w:color w:val="000000"/>
          <w:spacing w:val="0"/>
          <w:w w:val="100"/>
          <w:position w:val="0"/>
        </w:rPr>
        <w:t>林业改革发展资金分配结合工作任务和政策因 素，适当向承担重大国家战略省份和党中央、国务院关于林业改 革发展重点工作任务省份，以及革命老区、民族地区、边疆地区、 贫困地区所在省份倾斜。各省应当结合本地实际落实倾斜政策, 脱贫攻坚有关政策实施期内，向深度贫困地区及贫困人口倾斜。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第十四条 </w:t>
      </w:r>
      <w:r>
        <w:rPr>
          <w:color w:val="000000"/>
          <w:spacing w:val="0"/>
          <w:w w:val="100"/>
          <w:position w:val="0"/>
        </w:rPr>
        <w:t>贫困县开展统筹整合使用财政涉农资金试点期 间，分配给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832</w:t>
      </w:r>
      <w:r>
        <w:rPr>
          <w:color w:val="000000"/>
          <w:spacing w:val="0"/>
          <w:w w:val="100"/>
          <w:position w:val="0"/>
        </w:rPr>
        <w:t>个贫困县的林业改革发展资金中纳入统筹整合范 围的部分，按照有关法律法规和整合试点政策规定执行。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80" w:line="631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第十五条</w:t>
      </w:r>
      <w:r>
        <w:rPr>
          <w:color w:val="000000"/>
          <w:spacing w:val="0"/>
          <w:w w:val="100"/>
          <w:position w:val="0"/>
        </w:rPr>
        <w:t>各级财政部门应当会同同级林业和草原主管部门 按照有关法律法规和整合政策支持涉农资金统筹整合。加强林业 改革发展资金与中央基建投资等资金的统筹使用，避免重复支 持。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634" w:lineRule="exact"/>
        <w:ind w:left="0" w:right="0" w:firstLine="0"/>
        <w:jc w:val="center"/>
      </w:pPr>
      <w:bookmarkStart w:id="15" w:name="bookmark19"/>
      <w:bookmarkStart w:id="16" w:name="bookmark18"/>
      <w:bookmarkStart w:id="17" w:name="bookmark20"/>
      <w:r>
        <w:rPr>
          <w:color w:val="000000"/>
          <w:spacing w:val="0"/>
          <w:w w:val="100"/>
          <w:position w:val="0"/>
        </w:rPr>
        <w:t>第四章预算下达</w:t>
      </w:r>
      <w:bookmarkEnd w:id="15"/>
      <w:bookmarkEnd w:id="16"/>
      <w:bookmarkEnd w:id="17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第十六条</w:t>
      </w:r>
      <w:r>
        <w:rPr>
          <w:color w:val="000000"/>
          <w:spacing w:val="0"/>
          <w:w w:val="100"/>
          <w:position w:val="0"/>
        </w:rPr>
        <w:t>省级林业和草原主管部门会同财政部门于每年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7 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15</w:t>
      </w:r>
      <w:r>
        <w:rPr>
          <w:color w:val="000000"/>
          <w:spacing w:val="0"/>
          <w:w w:val="100"/>
          <w:position w:val="0"/>
        </w:rPr>
        <w:t>日前，向国家林业和草原局、财政部报送本省下一年度任 务计划。任务计划应当与本省林业草原发展规划、中期财政规划 等相衔接，根据本办法规定的支出方向和具体补助内容进行细化 并根据重要程度排序。报送任务计划时，应当同步报送相应资源 面积、人员数量等基本情况，对与上年相比变动情况进行说明并 附佐证材料。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大兴安岭林业集团公司向国家林业和草原局报送相关材料。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第十七条</w:t>
      </w:r>
      <w:r>
        <w:rPr>
          <w:color w:val="000000"/>
          <w:spacing w:val="0"/>
          <w:w w:val="100"/>
          <w:position w:val="0"/>
        </w:rPr>
        <w:t>财政部于每年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10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31</w:t>
      </w:r>
      <w:r>
        <w:rPr>
          <w:color w:val="000000"/>
          <w:spacing w:val="0"/>
          <w:w w:val="100"/>
          <w:position w:val="0"/>
        </w:rPr>
        <w:t>日前，将下一年度林业改 革发展资金预计数提前下达省级财政部门，抄送国家林业和草原 局、财政部各地监管局。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第十八条国</w:t>
      </w:r>
      <w:r>
        <w:rPr>
          <w:color w:val="000000"/>
          <w:spacing w:val="0"/>
          <w:w w:val="100"/>
          <w:position w:val="0"/>
        </w:rPr>
        <w:t>家林业和草原局会同财政部于每年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15</w:t>
      </w:r>
      <w:r>
        <w:rPr>
          <w:color w:val="000000"/>
          <w:spacing w:val="0"/>
          <w:w w:val="100"/>
          <w:position w:val="0"/>
        </w:rPr>
        <w:t>日 前，下达当年任务计划。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8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第十九条</w:t>
      </w:r>
      <w:r>
        <w:rPr>
          <w:color w:val="000000"/>
          <w:spacing w:val="0"/>
          <w:w w:val="100"/>
          <w:position w:val="0"/>
        </w:rPr>
        <w:t>国家林业和草原局于每年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15</w:t>
      </w:r>
      <w:r>
        <w:rPr>
          <w:color w:val="000000"/>
          <w:spacing w:val="0"/>
          <w:w w:val="100"/>
          <w:position w:val="0"/>
        </w:rPr>
        <w:t>日前，提出当 年林业改革发展资金各省分配建议方案，报送财政部。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第二十条</w:t>
      </w:r>
      <w:r>
        <w:rPr>
          <w:color w:val="000000"/>
          <w:spacing w:val="0"/>
          <w:w w:val="100"/>
          <w:position w:val="0"/>
        </w:rPr>
        <w:t xml:space="preserve">财政部于每年全国人民代表大会批准中央预算后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30</w:t>
      </w:r>
      <w:r>
        <w:rPr>
          <w:color w:val="000000"/>
          <w:spacing w:val="0"/>
          <w:w w:val="100"/>
          <w:position w:val="0"/>
        </w:rPr>
        <w:t>日内，根据年度预算安排、国家林业和草原局资金分配建议 方案等，审核下达当年资金预算，抄送国家林业和草原局、财政 部各地监管局。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80" w:line="648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第二十一条</w:t>
      </w:r>
      <w:r>
        <w:rPr>
          <w:color w:val="000000"/>
          <w:spacing w:val="0"/>
          <w:w w:val="100"/>
          <w:position w:val="0"/>
        </w:rPr>
        <w:t>接到林业改革发展资金预算后，省级财政部门 应当会同林业和草原主管部门在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30</w:t>
      </w:r>
      <w:r>
        <w:rPr>
          <w:color w:val="000000"/>
          <w:spacing w:val="0"/>
          <w:w w:val="100"/>
          <w:position w:val="0"/>
        </w:rPr>
        <w:t>日内分解下达，同时将资金 分配结果报财政部、国家林业和草原局备案，抄送财政部当地监 管局。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第五章预算绩效管理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52" w:lineRule="exact"/>
        <w:ind w:left="0" w:right="0" w:firstLine="7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第二十二条林</w:t>
      </w:r>
      <w:r>
        <w:rPr>
          <w:color w:val="000000"/>
          <w:spacing w:val="0"/>
          <w:w w:val="100"/>
          <w:position w:val="0"/>
        </w:rPr>
        <w:t>业改革发展资金建立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“预算</w:t>
      </w:r>
      <w:r>
        <w:rPr>
          <w:color w:val="000000"/>
          <w:spacing w:val="0"/>
          <w:w w:val="100"/>
          <w:position w:val="0"/>
        </w:rPr>
        <w:t>编制有目标、预 算执行有监控、预算完成有评价、评价结果有反馈、反馈结果有 应用”的全过程预算绩效管理机制。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641" w:lineRule="exact"/>
        <w:ind w:left="0" w:right="0" w:firstLine="7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第二十三条</w:t>
      </w:r>
      <w:r>
        <w:rPr>
          <w:color w:val="000000"/>
          <w:spacing w:val="0"/>
          <w:w w:val="100"/>
          <w:position w:val="0"/>
        </w:rPr>
        <w:t>林业改革发展资金绩效目标分为整体绩效目标 和区域绩效目标，主要内容包括与任务数量相对应的质量、时效、 成本以及经济效益、社会效益、生态效益、可持续影响、满意度 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第二十四条绩</w:t>
      </w:r>
      <w:r>
        <w:rPr>
          <w:color w:val="000000"/>
          <w:spacing w:val="0"/>
          <w:w w:val="100"/>
          <w:position w:val="0"/>
        </w:rPr>
        <w:t>效目标设定、审核、下达的依据：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7"/>
        </w:tabs>
        <w:bidi w:val="0"/>
        <w:spacing w:before="0" w:after="0" w:line="624" w:lineRule="exact"/>
        <w:ind w:left="0" w:right="0" w:firstLine="820"/>
        <w:jc w:val="both"/>
      </w:pPr>
      <w:bookmarkStart w:id="18" w:name="bookmark21"/>
      <w:r>
        <w:rPr>
          <w:color w:val="000000"/>
          <w:spacing w:val="0"/>
          <w:w w:val="100"/>
          <w:position w:val="0"/>
        </w:rPr>
        <w:t>（</w:t>
      </w:r>
      <w:bookmarkEnd w:id="1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国家相关法律、法规和规章，党中央、国务院对林业 草原领域重大决策部署，国民经济和社会发展规划。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0"/>
        </w:tabs>
        <w:bidi w:val="0"/>
        <w:spacing w:before="0" w:after="0" w:line="624" w:lineRule="exact"/>
        <w:ind w:left="0" w:right="0" w:firstLine="820"/>
        <w:jc w:val="both"/>
      </w:pPr>
      <w:bookmarkStart w:id="19" w:name="bookmark22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财政部门中期财政规划和年度预算，财政部门制定的 预算管理制度。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4"/>
        </w:tabs>
        <w:bidi w:val="0"/>
        <w:spacing w:before="0" w:after="0" w:line="624" w:lineRule="exact"/>
        <w:ind w:left="0" w:right="0" w:firstLine="820"/>
        <w:jc w:val="both"/>
      </w:pPr>
      <w:bookmarkStart w:id="20" w:name="bookmark23"/>
      <w:r>
        <w:rPr>
          <w:color w:val="000000"/>
          <w:spacing w:val="0"/>
          <w:w w:val="100"/>
          <w:position w:val="0"/>
        </w:rPr>
        <w:t>（</w:t>
      </w:r>
      <w:bookmarkEnd w:id="20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《实施方案》、林业草原发展规划、林业草原行业标 准及其他相关重点规划等。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7"/>
        </w:tabs>
        <w:bidi w:val="0"/>
        <w:spacing w:before="0" w:after="0" w:line="648" w:lineRule="exact"/>
        <w:ind w:left="0" w:right="0" w:firstLine="820"/>
        <w:jc w:val="both"/>
      </w:pPr>
      <w:bookmarkStart w:id="21" w:name="bookmark24"/>
      <w:r>
        <w:rPr>
          <w:color w:val="000000"/>
          <w:spacing w:val="0"/>
          <w:w w:val="100"/>
          <w:position w:val="0"/>
        </w:rPr>
        <w:t>（</w:t>
      </w:r>
      <w:bookmarkEnd w:id="21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统计部门或行业主管部门公布的有关林业草原统计数 据和财政部门反映资金管理的有关数据等。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46"/>
        </w:tabs>
        <w:bidi w:val="0"/>
        <w:spacing w:before="0" w:after="0" w:line="641" w:lineRule="exact"/>
        <w:ind w:left="0" w:right="0" w:firstLine="820"/>
        <w:jc w:val="both"/>
      </w:pPr>
      <w:bookmarkStart w:id="22" w:name="bookmark25"/>
      <w:r>
        <w:rPr>
          <w:color w:val="000000"/>
          <w:spacing w:val="0"/>
          <w:w w:val="100"/>
          <w:position w:val="0"/>
        </w:rPr>
        <w:t>（</w:t>
      </w:r>
      <w:bookmarkEnd w:id="22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符合财政部、国家林业和草原局要求的其他依据。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62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第二十五条</w:t>
      </w:r>
      <w:r>
        <w:rPr>
          <w:color w:val="000000"/>
          <w:spacing w:val="0"/>
          <w:w w:val="100"/>
          <w:position w:val="0"/>
        </w:rPr>
        <w:t>国家林业和草原局会同财政部于每年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15 </w:t>
      </w:r>
      <w:r>
        <w:rPr>
          <w:color w:val="000000"/>
          <w:spacing w:val="0"/>
          <w:w w:val="100"/>
          <w:position w:val="0"/>
        </w:rPr>
        <w:t>日前，随当年任务计划同步下达区域绩效目标申报表指标体系。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" w:line="634" w:lineRule="exact"/>
        <w:ind w:left="0" w:right="0" w:firstLine="620"/>
        <w:jc w:val="both"/>
        <w:sectPr>
          <w:footerReference r:id="rId8" w:type="default"/>
          <w:footnotePr>
            <w:numFmt w:val="decimal"/>
          </w:footnotePr>
          <w:pgSz w:w="11900" w:h="16840"/>
          <w:pgMar w:top="1570" w:right="1520" w:bottom="1823" w:left="1546" w:header="1142" w:footer="3" w:gutter="0"/>
          <w:pgNumType w:start="2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省级财政部门会同林业和草原主管部门于每年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15</w:t>
      </w:r>
      <w:r>
        <w:rPr>
          <w:color w:val="000000"/>
          <w:spacing w:val="0"/>
          <w:w w:val="100"/>
          <w:position w:val="0"/>
        </w:rPr>
        <w:t>日前， 结合任务计划和本地区实际情况，编制区域绩效目标申报表，连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同上一年度资金使用管理情况报送财政部、国家林业和草原局， 抄送财政部当地监管局。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国家林业和草原局于每年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15</w:t>
      </w:r>
      <w:r>
        <w:rPr>
          <w:color w:val="000000"/>
          <w:spacing w:val="0"/>
          <w:w w:val="100"/>
          <w:position w:val="0"/>
        </w:rPr>
        <w:t>日前,提出整体绩效目标, 对各省区域绩效目标进行审核，随资金分配建议方案同步报送财 政部。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财政部于每年全国人民代表大会批准中央预算后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30</w:t>
      </w:r>
      <w:r>
        <w:rPr>
          <w:color w:val="000000"/>
          <w:spacing w:val="0"/>
          <w:w w:val="100"/>
          <w:position w:val="0"/>
        </w:rPr>
        <w:t>日内， 随当年资金预算同步下达区域绩效目标，抄送财政部各地监管 局。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8" w:lineRule="exact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第二十六条</w:t>
      </w:r>
      <w:r>
        <w:rPr>
          <w:color w:val="000000"/>
          <w:spacing w:val="0"/>
          <w:w w:val="100"/>
          <w:position w:val="0"/>
        </w:rPr>
        <w:t>各级财政部门会同林业和草原主管部门按要求 实施预算绩效监控，林业和草原主管部门是实施预算绩效监控的 主体，重点监控林业改革发展资金使用是否符合下达的绩效目 标，发现绩效运行与预期绩效目标发生偏离时，应当及时采取措 施予以纠正。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5" w:lineRule="exact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第二十七条</w:t>
      </w:r>
      <w:r>
        <w:rPr>
          <w:color w:val="000000"/>
          <w:spacing w:val="0"/>
          <w:w w:val="100"/>
          <w:position w:val="0"/>
        </w:rPr>
        <w:t>财政部会同国家林业和草原局统一组织实施林 业改革发展资金绩效评价。预算执行结束后，地方各级财政部门 组织同级林业和草原主管部门、资金使用单位对照确定的绩效目 标开展绩效自评。省级财政部门、林业和草原主管部门审核汇总 后按时报送本地区绩效自评表和绩效自评报告，对自评结果和绩 效评价相关材料的真实性负责。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77" w:lineRule="exact"/>
        <w:ind w:left="0" w:right="0" w:firstLine="68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第二十八条绩</w:t>
      </w:r>
      <w:r>
        <w:rPr>
          <w:color w:val="000000"/>
          <w:spacing w:val="0"/>
          <w:w w:val="100"/>
          <w:position w:val="0"/>
        </w:rPr>
        <w:t>效评价的依据除了绩效目标设定、审核、下 达的依据外，还包括以下依据：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74"/>
        </w:tabs>
        <w:bidi w:val="0"/>
        <w:spacing w:before="0" w:after="0" w:line="628" w:lineRule="exact"/>
        <w:ind w:left="0" w:right="0" w:firstLine="840"/>
        <w:jc w:val="both"/>
      </w:pPr>
      <w:bookmarkStart w:id="23" w:name="bookmark26"/>
      <w:r>
        <w:rPr>
          <w:color w:val="000000"/>
          <w:spacing w:val="0"/>
          <w:w w:val="100"/>
          <w:position w:val="0"/>
        </w:rPr>
        <w:t>（</w:t>
      </w:r>
      <w:bookmarkEnd w:id="2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整体绩效目标和区域绩效目标。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74"/>
        </w:tabs>
        <w:bidi w:val="0"/>
        <w:spacing w:before="0" w:after="0" w:line="628" w:lineRule="exact"/>
        <w:ind w:left="0" w:right="0" w:firstLine="840"/>
        <w:jc w:val="both"/>
      </w:pPr>
      <w:bookmarkStart w:id="24" w:name="bookmark27"/>
      <w:r>
        <w:rPr>
          <w:color w:val="000000"/>
          <w:spacing w:val="0"/>
          <w:w w:val="100"/>
          <w:position w:val="0"/>
        </w:rPr>
        <w:t>（</w:t>
      </w:r>
      <w:bookmarkEnd w:id="2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预算下达文件、财务会计资料等有关文件资料。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4"/>
        </w:tabs>
        <w:bidi w:val="0"/>
        <w:spacing w:before="0" w:after="0" w:line="628" w:lineRule="exact"/>
        <w:ind w:left="0" w:right="0" w:firstLine="840"/>
        <w:jc w:val="both"/>
      </w:pPr>
      <w:bookmarkStart w:id="25" w:name="bookmark28"/>
      <w:r>
        <w:rPr>
          <w:color w:val="000000"/>
          <w:spacing w:val="0"/>
          <w:w w:val="100"/>
          <w:position w:val="0"/>
        </w:rPr>
        <w:t>（</w:t>
      </w:r>
      <w:bookmarkEnd w:id="25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人大审查结果报告、巡视、审计报告及决定、财政监 督稽核报告等，以及有关部门或委托中介机构出具的项目评审或 竣工验收报告、评审考核意见等。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0"/>
        </w:tabs>
        <w:bidi w:val="0"/>
        <w:spacing w:before="0" w:after="0" w:line="628" w:lineRule="exact"/>
        <w:ind w:left="0" w:right="0" w:firstLine="840"/>
        <w:jc w:val="both"/>
      </w:pPr>
      <w:bookmarkStart w:id="26" w:name="bookmark29"/>
      <w:r>
        <w:rPr>
          <w:color w:val="000000"/>
          <w:spacing w:val="0"/>
          <w:w w:val="100"/>
          <w:position w:val="0"/>
        </w:rPr>
        <w:t>（</w:t>
      </w:r>
      <w:bookmarkEnd w:id="26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反映工作情况和项目组织实施情况的正式文件、会议 纪要等。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8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第二十九条</w:t>
      </w:r>
      <w:r>
        <w:rPr>
          <w:color w:val="000000"/>
          <w:spacing w:val="0"/>
          <w:w w:val="100"/>
          <w:position w:val="0"/>
        </w:rPr>
        <w:t>绩效评价内容包括资金投入使用情况、资金项 目管理情况、资金实际产出和政策实施效果。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2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第三十条</w:t>
      </w:r>
      <w:r>
        <w:rPr>
          <w:color w:val="000000"/>
          <w:spacing w:val="0"/>
          <w:w w:val="100"/>
          <w:position w:val="0"/>
        </w:rPr>
        <w:t>绩效评价结果采取评分与评级相结合的形式，具 体分值和等级按照项目支出绩效评价管理有关规定执行。绩效评 价结果作为完善林业改革发展资金政策、改进管理以及下一年度 预算申请、安排、分配的重要依据。省级财政部门、林业和草原 主管部门应当建立绩效评价结果反馈制度和应用机制。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600" w:line="632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第三十一条</w:t>
      </w:r>
      <w:r>
        <w:rPr>
          <w:color w:val="000000"/>
          <w:spacing w:val="0"/>
          <w:w w:val="100"/>
          <w:position w:val="0"/>
        </w:rPr>
        <w:t>对于林业改革发展资金中纳入贫困县涉农资金 统筹整合范围的部分，区域绩效目标对应的指标按被整合资金额 度调减，不考核该部分资金对应的任务完成情况。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632" w:lineRule="exact"/>
        <w:ind w:left="0" w:right="0" w:firstLine="0"/>
        <w:jc w:val="center"/>
      </w:pPr>
      <w:bookmarkStart w:id="27" w:name="bookmark32"/>
      <w:bookmarkStart w:id="28" w:name="bookmark31"/>
      <w:bookmarkStart w:id="29" w:name="bookmark30"/>
      <w:r>
        <w:rPr>
          <w:color w:val="000000"/>
          <w:spacing w:val="0"/>
          <w:w w:val="100"/>
          <w:position w:val="0"/>
        </w:rPr>
        <w:t>第六章预算执行和监督</w:t>
      </w:r>
      <w:bookmarkEnd w:id="27"/>
      <w:bookmarkEnd w:id="28"/>
      <w:bookmarkEnd w:id="29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55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第三十二条</w:t>
      </w:r>
      <w:r>
        <w:rPr>
          <w:color w:val="000000"/>
          <w:spacing w:val="0"/>
          <w:w w:val="100"/>
          <w:position w:val="0"/>
        </w:rPr>
        <w:t>各级财政部门、林业和草原主管部门应当加快 预算执行，提高资金使用效益。结转结余的林业改革发展资金， 按照财政部关于结转结余资金管理的相关规定处理。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8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第三十三条</w:t>
      </w:r>
      <w:r>
        <w:rPr>
          <w:color w:val="000000"/>
          <w:spacing w:val="0"/>
          <w:w w:val="100"/>
          <w:position w:val="0"/>
        </w:rPr>
        <w:t>林业改革发展资金的支付执行国库集中支付制 度有关规定。属于政府采购管理范围的，应当按照政府采购有关 规定执行。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9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第三十四条</w:t>
      </w:r>
      <w:r>
        <w:rPr>
          <w:color w:val="000000"/>
          <w:spacing w:val="0"/>
          <w:w w:val="100"/>
          <w:position w:val="0"/>
        </w:rPr>
        <w:t>各地应当积极创新林业改革发展资金使用管理 机制，可采用以奖代补、先建后补、贷款贴息等方式，采用贷款 贴息方式的，应当将银行征信查询纳入审核环节。鼓励各地通过 购买服务的方式开展国有林区和国有林场造林、管护、抚育等业 务。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62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第三十五条</w:t>
      </w:r>
      <w:r>
        <w:rPr>
          <w:color w:val="000000"/>
          <w:spacing w:val="0"/>
          <w:w w:val="100"/>
          <w:position w:val="0"/>
        </w:rPr>
        <w:t>林业改革发展资金使用管理相关信息应当按照 预算公开有关要求执行。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第三十六条 </w:t>
      </w:r>
      <w:r>
        <w:rPr>
          <w:color w:val="000000"/>
          <w:spacing w:val="0"/>
          <w:w w:val="100"/>
          <w:position w:val="0"/>
        </w:rPr>
        <w:t>各级财政部门、林业和草原主管部门应当加强 对资金申请、分配、使用、管理情况的监督，发现问题及时纠正。 财政部各地监管局根据工作职责和财政部要求，对林业改革发展 资金进行监管。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6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第三十七条</w:t>
      </w:r>
      <w:r>
        <w:rPr>
          <w:color w:val="000000"/>
          <w:spacing w:val="0"/>
          <w:w w:val="100"/>
          <w:position w:val="0"/>
        </w:rPr>
        <w:t>各级财政部门、林业和草原等有关部门及其工 作人员在林业改革发展资金分配、使用、管理等相关工作中，存 在违反本办法规定的行为，以及其他滥用职权、玩忽职守、徇私 舞弊等违纪违法行为的，按照《中华人民共和国预算法》、《中 华人民共和国公务员法》、《中华人民共和国监察法》、《财政 违法行为处罚处分条例》等国家有关规定追究相应责任。构成犯 罪的，依法追究刑事责任。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640" w:line="641" w:lineRule="exact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第三十八条</w:t>
      </w:r>
      <w:r>
        <w:rPr>
          <w:color w:val="000000"/>
          <w:spacing w:val="0"/>
          <w:w w:val="100"/>
          <w:position w:val="0"/>
        </w:rPr>
        <w:t>资金使用单位和个人在使用林业改革发展资金 中存在各类违法违规行为的，按照《中华人民共和国预算法》、 《财政违法行为处罚处分条例》等国家有关规定追究相应责任。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638" w:lineRule="exact"/>
        <w:ind w:left="0" w:right="0" w:firstLine="0"/>
        <w:jc w:val="center"/>
      </w:pPr>
      <w:bookmarkStart w:id="30" w:name="bookmark35"/>
      <w:bookmarkStart w:id="31" w:name="bookmark34"/>
      <w:bookmarkStart w:id="32" w:name="bookmark33"/>
      <w:r>
        <w:rPr>
          <w:color w:val="000000"/>
          <w:spacing w:val="0"/>
          <w:w w:val="100"/>
          <w:position w:val="0"/>
        </w:rPr>
        <w:t>第七章附则</w:t>
      </w:r>
      <w:bookmarkEnd w:id="30"/>
      <w:bookmarkEnd w:id="31"/>
      <w:bookmarkEnd w:id="32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第三十九条</w:t>
      </w:r>
      <w:r>
        <w:rPr>
          <w:color w:val="000000"/>
          <w:spacing w:val="0"/>
          <w:w w:val="100"/>
          <w:position w:val="0"/>
        </w:rPr>
        <w:t>中央单位林业改革发展资金管理参照本办法执 行，相关支出列入中央部门预算。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第四十条</w:t>
      </w:r>
      <w:r>
        <w:rPr>
          <w:color w:val="000000"/>
          <w:spacing w:val="0"/>
          <w:w w:val="100"/>
          <w:position w:val="0"/>
        </w:rPr>
        <w:t>省级财政部门会同林业和草原主管部门应当根据 本办法和本地区实际情况制定实施办法，报送财政部、国家林业 和草原局，抄送财政部当地监管局。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第四十一条</w:t>
      </w:r>
      <w:r>
        <w:rPr>
          <w:color w:val="000000"/>
          <w:spacing w:val="0"/>
          <w:w w:val="100"/>
          <w:position w:val="0"/>
        </w:rPr>
        <w:t>各地应当安排资金，用于公益林的营造、抚育、 保护、管理和非国有公益林权利人的经济补偿等，并参照本办法 制定本地区的具体管理办法。地方使用各级财政安排的用于上述 方面的资金，实行专款专用。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62" w:lineRule="exact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第四十二条</w:t>
      </w:r>
      <w:r>
        <w:rPr>
          <w:color w:val="000000"/>
          <w:spacing w:val="0"/>
          <w:w w:val="100"/>
          <w:position w:val="0"/>
        </w:rPr>
        <w:t>本办法由财政部会同国家林业和草原局负责解 释。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8" w:lineRule="exact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第四十三条本办</w:t>
      </w:r>
      <w:r>
        <w:rPr>
          <w:color w:val="000000"/>
          <w:spacing w:val="0"/>
          <w:w w:val="100"/>
          <w:position w:val="0"/>
        </w:rPr>
        <w:t>法自公布之日起施行。《财政部国家林业 局关于印发〈森林防火项目资金管理办法〉的通知》（财农〔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2007</w:t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70</w:t>
      </w:r>
      <w:r>
        <w:rPr>
          <w:color w:val="000000"/>
          <w:spacing w:val="0"/>
          <w:w w:val="100"/>
          <w:position w:val="0"/>
        </w:rPr>
        <w:t>号）、《财政部国家林业局关于印发〈中央财政林业科技推 广示范资金绩效评价暂行办法〉的通知》（财农〔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 xml:space="preserve">2011]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color w:val="000000"/>
          <w:spacing w:val="0"/>
          <w:w w:val="100"/>
          <w:position w:val="0"/>
        </w:rPr>
        <w:t>号）、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140"/>
        <w:jc w:val="both"/>
      </w:pPr>
      <w:r>
        <w:rPr>
          <w:color w:val="000000"/>
          <w:spacing w:val="0"/>
          <w:w w:val="100"/>
          <w:position w:val="0"/>
        </w:rPr>
        <w:t>《财政部国家林业局关于印发〈林业改革发展资金管理办法〉 的通知》（财农〔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2016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196</w:t>
      </w:r>
      <w:r>
        <w:rPr>
          <w:color w:val="000000"/>
          <w:spacing w:val="0"/>
          <w:w w:val="100"/>
          <w:position w:val="0"/>
        </w:rPr>
        <w:t>号）、《财政部 国家林业局关于 印发〈林业改革发展资金预算绩效管理暂行办法〉的通知》（财 农〔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2016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197</w:t>
      </w:r>
      <w:r>
        <w:rPr>
          <w:color w:val="000000"/>
          <w:spacing w:val="0"/>
          <w:w w:val="100"/>
          <w:position w:val="0"/>
        </w:rPr>
        <w:t>号）、《财政部林草局关于〈林业生态保护恢 复资金管理办法〉〈林业改革发展资金管理办法〉的补充通知》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4" w:lineRule="exact"/>
        <w:ind w:left="0" w:right="0" w:firstLine="140"/>
        <w:jc w:val="both"/>
        <w:sectPr>
          <w:footerReference r:id="rId9" w:type="default"/>
          <w:footnotePr>
            <w:numFmt w:val="decimal"/>
          </w:footnotePr>
          <w:type w:val="continuous"/>
          <w:pgSz w:w="11900" w:h="16840"/>
          <w:pgMar w:top="1570" w:right="1520" w:bottom="1823" w:left="1546" w:header="1142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（财农〔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2019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39</w:t>
      </w:r>
      <w:r>
        <w:rPr>
          <w:color w:val="000000"/>
          <w:spacing w:val="0"/>
          <w:w w:val="100"/>
          <w:position w:val="0"/>
        </w:rPr>
        <w:t>号）同时废止。此前财政部、原国家林业局 发布的关于林业改革发展的相关文件与本办法相抵触的，以本办 法为准。</w:t>
      </w:r>
    </w:p>
    <w:p>
      <w:pPr>
        <w:pStyle w:val="9"/>
        <w:keepNext w:val="0"/>
        <w:keepLines w:val="0"/>
        <w:framePr w:w="3074" w:h="346" w:wrap="around" w:vAnchor="margin" w:hAnchor="page" w:x="1555" w:y="1"/>
        <w:widowControl w:val="0"/>
        <w:pBdr>
          <w:bottom w:val="single" w:color="auto" w:sz="4" w:space="0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信息公开选项：主动公开</w:t>
      </w:r>
    </w:p>
    <w:p>
      <w:pPr>
        <w:pStyle w:val="9"/>
        <w:keepNext w:val="0"/>
        <w:keepLines w:val="0"/>
        <w:framePr w:w="3154" w:h="943" w:wrap="around" w:vAnchor="margin" w:hAnchor="page" w:x="1850" w:y="613"/>
        <w:widowControl w:val="0"/>
        <w:pBdr>
          <w:bottom w:val="single" w:color="auto" w:sz="4" w:space="0"/>
        </w:pBdr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抄送：财政部各地监管局。</w:t>
      </w:r>
    </w:p>
    <w:p>
      <w:pPr>
        <w:pStyle w:val="9"/>
        <w:keepNext w:val="0"/>
        <w:keepLines w:val="0"/>
        <w:framePr w:w="3154" w:h="943" w:wrap="around" w:vAnchor="margin" w:hAnchor="page" w:x="1850" w:y="6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财政部办公厅</w:t>
      </w:r>
    </w:p>
    <w:p>
      <w:pPr>
        <w:pStyle w:val="19"/>
        <w:keepNext w:val="0"/>
        <w:keepLines w:val="0"/>
        <w:framePr w:w="2246" w:h="360" w:wrap="around" w:vAnchor="margin" w:hAnchor="page" w:x="7905" w:y="11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日印发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4525010</wp:posOffset>
            </wp:positionH>
            <wp:positionV relativeFrom="margin">
              <wp:posOffset>1238885</wp:posOffset>
            </wp:positionV>
            <wp:extent cx="1804670" cy="524510"/>
            <wp:effectExtent l="0" t="0" r="5080" b="889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hape 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</w:pPr>
    </w:p>
    <w:sectPr>
      <w:footerReference r:id="rId10" w:type="default"/>
      <w:footnotePr>
        <w:numFmt w:val="decimal"/>
      </w:footnotePr>
      <w:pgSz w:w="11900" w:h="16840"/>
      <w:pgMar w:top="12727" w:right="1750" w:bottom="1134" w:left="1554" w:header="12299" w:footer="706" w:gutter="0"/>
      <w:pgNumType w:start="14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1442720</wp:posOffset>
              </wp:positionH>
              <wp:positionV relativeFrom="page">
                <wp:posOffset>9519920</wp:posOffset>
              </wp:positionV>
              <wp:extent cx="32893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2 -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113.6pt;margin-top:749.6pt;height:9.7pt;width:25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B5GOpjYAAAADQEAAA8AAAAAAAAAAQAgAAAAIgAAAGRycy9kb3du&#10;cmV2LnhtbFBLAQIUABQAAAAIAIdO4kDP30fkjQEAACE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2 -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5694680</wp:posOffset>
              </wp:positionH>
              <wp:positionV relativeFrom="page">
                <wp:posOffset>9158605</wp:posOffset>
              </wp:positionV>
              <wp:extent cx="575945" cy="1231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—1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448.4pt;margin-top:721.15pt;height:9.7pt;width:45.3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KMiDLzZAAAADQEAAA8AAAAAAAAAAQAgAAAAIgAAAGRycy9k&#10;b3ducmV2LnhtbFBLAQIUABQAAAAIAIdO4kDSR8RpjwEAACEDAAAOAAAAAAAAAAEAIAAAACg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3768090</wp:posOffset>
              </wp:positionH>
              <wp:positionV relativeFrom="page">
                <wp:posOffset>9872980</wp:posOffset>
              </wp:positionV>
              <wp:extent cx="54610" cy="914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296.7pt;margin-top:777.4pt;height:7.2pt;width:4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kpYrsNgAAAANAQAADwAAAAAAAAABACAAAAAiAAAAZHJzL2Rvd25y&#10;ZXYueG1sUEsBAhQAFAAAAAgAh07iQL6+2aaMAQAAHw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9829800</wp:posOffset>
              </wp:positionV>
              <wp:extent cx="123190" cy="91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291.5pt;margin-top:774pt;height:7.2pt;width:9.7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Ftm22tcAAAANAQAADwAAAAAAAAABACAAAAAiAAAAZHJzL2Rvd25y&#10;ZXYueG1sUEsBAhQAFAAAAAgAh07iQNadsJCNAQAAIgMAAA4AAAAAAAAAAQAgAAAAJg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12F2174"/>
    <w:rsid w:val="535A4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color w:val="F02D15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after="1660" w:line="770" w:lineRule="exact"/>
      <w:ind w:left="380" w:firstLine="20"/>
      <w:outlineLvl w:val="0"/>
    </w:pPr>
    <w:rPr>
      <w:rFonts w:ascii="宋体" w:hAnsi="宋体" w:eastAsia="宋体" w:cs="宋体"/>
      <w:color w:val="F02D15"/>
      <w:sz w:val="74"/>
      <w:szCs w:val="74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line="47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3"/>
    <w:link w:val="11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uiPriority w:val="0"/>
    <w:pPr>
      <w:widowControl w:val="0"/>
      <w:shd w:val="clear" w:color="auto" w:fill="auto"/>
      <w:spacing w:after="560" w:line="691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2">
    <w:name w:val="Heading #3|1_"/>
    <w:basedOn w:val="3"/>
    <w:link w:val="13"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3">
    <w:name w:val="Heading #3|1"/>
    <w:basedOn w:val="1"/>
    <w:link w:val="12"/>
    <w:uiPriority w:val="0"/>
    <w:pPr>
      <w:widowControl w:val="0"/>
      <w:shd w:val="clear" w:color="auto" w:fill="auto"/>
      <w:spacing w:after="62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14">
    <w:name w:val="Heading #4|1_"/>
    <w:basedOn w:val="3"/>
    <w:link w:val="15"/>
    <w:uiPriority w:val="0"/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Heading #4|1"/>
    <w:basedOn w:val="1"/>
    <w:link w:val="14"/>
    <w:uiPriority w:val="0"/>
    <w:pPr>
      <w:widowControl w:val="0"/>
      <w:shd w:val="clear" w:color="auto" w:fill="auto"/>
      <w:spacing w:line="630" w:lineRule="exact"/>
      <w:jc w:val="center"/>
      <w:outlineLvl w:val="3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6">
    <w:name w:val="Header or footer|1_"/>
    <w:basedOn w:val="3"/>
    <w:link w:val="17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link w:val="1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8">
    <w:name w:val="Body text|2_"/>
    <w:basedOn w:val="3"/>
    <w:link w:val="19"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2"/>
    <w:basedOn w:val="1"/>
    <w:link w:val="18"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Office_11.8.2.8555_F1E327BC-269C-435d-A152-05C5408002CA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2021-02-05T07:52:00Z</dcterms:created>
  <dc:creator>Administrator.USER-20171106RH</dc:creator>
  <cp:lastModifiedBy>陈琳丽</cp:lastModifiedBy>
  <dcterms:modified xsi:type="dcterms:W3CDTF">2021-06-17T10:26:21Z</dcterms:modified>
  <dc:title>财 政 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