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CFDC6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中国残联办公厅关于印发</w:t>
      </w:r>
      <w:r>
        <w:rPr>
          <w:rFonts w:hint="eastAsia" w:ascii="方正小标宋简体" w:hAnsi="方正小标宋简体" w:eastAsia="方正小标宋简体" w:cs="方正小标宋简体"/>
          <w:sz w:val="44"/>
          <w:szCs w:val="52"/>
          <w:lang w:eastAsia="zh-CN"/>
        </w:rPr>
        <w:t>（</w:t>
      </w:r>
      <w:r>
        <w:rPr>
          <w:rFonts w:hint="eastAsia" w:ascii="方正小标宋简体" w:hAnsi="方正小标宋简体" w:eastAsia="方正小标宋简体" w:cs="方正小标宋简体"/>
          <w:sz w:val="44"/>
          <w:szCs w:val="52"/>
        </w:rPr>
        <w:t>“十四五”中央专项</w:t>
      </w:r>
    </w:p>
    <w:p w14:paraId="4C82FF9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彩票公益金困难智力、精神和重度残疾人</w:t>
      </w:r>
    </w:p>
    <w:p w14:paraId="5CC897A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残疾评定补贴项目实施方案》的通知</w:t>
      </w:r>
    </w:p>
    <w:p w14:paraId="7C921A0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残联厅函〔</w:t>
      </w:r>
      <w:r>
        <w:rPr>
          <w:rFonts w:hint="eastAsia" w:ascii="仿宋_GB2312" w:hAnsi="仿宋_GB2312" w:eastAsia="仿宋_GB2312" w:cs="仿宋_GB2312"/>
          <w:sz w:val="32"/>
          <w:szCs w:val="40"/>
          <w:lang w:val="en-US" w:eastAsia="zh-CN"/>
        </w:rPr>
        <w:t>2021</w:t>
      </w:r>
      <w:r>
        <w:rPr>
          <w:rFonts w:hint="eastAsia" w:ascii="仿宋_GB2312" w:hAnsi="仿宋_GB2312" w:eastAsia="仿宋_GB2312" w:cs="仿宋_GB2312"/>
          <w:sz w:val="32"/>
          <w:szCs w:val="40"/>
        </w:rPr>
        <w:t>〕304号</w:t>
      </w:r>
    </w:p>
    <w:p w14:paraId="0B5BB22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14:paraId="1647E0C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各省、自治区、直辖市残联</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新疆生产建设兵团残联</w:t>
      </w:r>
      <w:r>
        <w:rPr>
          <w:rFonts w:hint="eastAsia" w:ascii="仿宋_GB2312" w:hAnsi="仿宋_GB2312" w:eastAsia="仿宋_GB2312" w:cs="仿宋_GB2312"/>
          <w:sz w:val="32"/>
          <w:szCs w:val="40"/>
          <w:lang w:eastAsia="zh-CN"/>
        </w:rPr>
        <w:t>：</w:t>
      </w:r>
    </w:p>
    <w:p w14:paraId="5C8D65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为贯彻落实《“十四五”残疾人保障和发展规划》相关要求</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实施好困难智力、精神和重度残疾人残疾评定补贴项目</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提高财政资金使用效率</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中国残联组织制定了《“十四五”中央专项彩票公益金困难智力、精神和重度残疾人残疾评定补贴项目实施方案》</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现印发给你们</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请结合工作实际贯彻落实。</w:t>
      </w:r>
    </w:p>
    <w:p w14:paraId="5F508D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p>
    <w:p w14:paraId="774324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p>
    <w:p w14:paraId="596F9C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p>
    <w:p w14:paraId="2BF4AA3C">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中</w:t>
      </w:r>
      <w:r>
        <w:rPr>
          <w:rFonts w:hint="eastAsia" w:ascii="仿宋_GB2312" w:hAnsi="仿宋_GB2312" w:eastAsia="仿宋_GB2312" w:cs="仿宋_GB2312"/>
          <w:sz w:val="32"/>
          <w:szCs w:val="40"/>
        </w:rPr>
        <w:t>国残联办公厅</w:t>
      </w:r>
      <w:r>
        <w:rPr>
          <w:rFonts w:hint="eastAsia" w:ascii="仿宋_GB2312" w:hAnsi="仿宋_GB2312" w:eastAsia="仿宋_GB2312" w:cs="仿宋_GB2312"/>
          <w:sz w:val="32"/>
          <w:szCs w:val="40"/>
          <w:lang w:val="en-US" w:eastAsia="zh-CN"/>
        </w:rPr>
        <w:t xml:space="preserve">    </w:t>
      </w:r>
    </w:p>
    <w:p w14:paraId="47051C11">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rPr>
        <w:t>2021</w:t>
      </w:r>
      <w:r>
        <w:rPr>
          <w:rFonts w:hint="eastAsia" w:ascii="仿宋_GB2312" w:hAnsi="仿宋_GB2312" w:eastAsia="仿宋_GB2312" w:cs="仿宋_GB2312"/>
          <w:sz w:val="32"/>
          <w:szCs w:val="40"/>
          <w:lang w:val="en-US" w:eastAsia="zh-CN"/>
        </w:rPr>
        <w:t>年</w:t>
      </w:r>
      <w:r>
        <w:rPr>
          <w:rFonts w:hint="eastAsia" w:ascii="仿宋_GB2312" w:hAnsi="仿宋_GB2312" w:eastAsia="仿宋_GB2312" w:cs="仿宋_GB2312"/>
          <w:sz w:val="32"/>
          <w:szCs w:val="40"/>
        </w:rPr>
        <w:t>10月9日</w:t>
      </w:r>
      <w:r>
        <w:rPr>
          <w:rFonts w:hint="eastAsia" w:ascii="仿宋_GB2312" w:hAnsi="仿宋_GB2312" w:eastAsia="仿宋_GB2312" w:cs="仿宋_GB2312"/>
          <w:sz w:val="32"/>
          <w:szCs w:val="40"/>
          <w:lang w:val="en-US" w:eastAsia="zh-CN"/>
        </w:rPr>
        <w:t xml:space="preserve">   </w:t>
      </w:r>
    </w:p>
    <w:p w14:paraId="199FCAE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14:paraId="52E813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信息公开形式</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依申请公开</w:t>
      </w:r>
    </w:p>
    <w:p w14:paraId="6D920B2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14:paraId="21ECBB6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14:paraId="4C5FE97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14:paraId="6C0E028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14:paraId="0D2BDF3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“十四五”中央专项彩票公益金困难智力、</w:t>
      </w:r>
    </w:p>
    <w:p w14:paraId="36EBA03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40"/>
        </w:rPr>
      </w:pPr>
      <w:r>
        <w:rPr>
          <w:rFonts w:hint="eastAsia" w:ascii="方正小标宋简体" w:hAnsi="方正小标宋简体" w:eastAsia="方正小标宋简体" w:cs="方正小标宋简体"/>
          <w:sz w:val="44"/>
          <w:szCs w:val="52"/>
        </w:rPr>
        <w:t>精神和重度残疾人残疾评定补贴项目实施方案</w:t>
      </w:r>
    </w:p>
    <w:p w14:paraId="0CEB4B6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14:paraId="356F17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为贯彻落实《“十四五”残疾人保障和发展规划》相关要求</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十四五”期间</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中央财政安排彩票公益金支持残疾人事业发展</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继续实施“中央专项彩票公益金困难智力、精神和重度残疾人残</w:t>
      </w:r>
    </w:p>
    <w:p w14:paraId="00EEFC0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疾评定补贴项目”。为确保项目顺利实施</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制定本方案。</w:t>
      </w:r>
    </w:p>
    <w:p w14:paraId="18962C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黑体" w:hAnsi="黑体" w:eastAsia="黑体" w:cs="黑体"/>
          <w:sz w:val="32"/>
          <w:szCs w:val="40"/>
        </w:rPr>
        <w:t>一、任务目标</w:t>
      </w:r>
    </w:p>
    <w:p w14:paraId="42DD978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“十四五”期间</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为30万名困难智力、精神和重度残疾人残疾评定提供补贴</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改善残疾人状况</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减轻残疾人经济负担</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更好地为残疾人提供服务</w:t>
      </w:r>
      <w:r>
        <w:rPr>
          <w:rFonts w:hint="eastAsia" w:ascii="仿宋_GB2312" w:hAnsi="仿宋_GB2312" w:eastAsia="仿宋_GB2312" w:cs="仿宋_GB2312"/>
          <w:sz w:val="32"/>
          <w:szCs w:val="40"/>
          <w:lang w:eastAsia="zh-CN"/>
        </w:rPr>
        <w:t>。</w:t>
      </w:r>
    </w:p>
    <w:p w14:paraId="79BFB93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40"/>
        </w:rPr>
      </w:pPr>
      <w:r>
        <w:rPr>
          <w:rFonts w:hint="eastAsia" w:ascii="黑体" w:hAnsi="黑体" w:eastAsia="黑体" w:cs="黑体"/>
          <w:sz w:val="32"/>
          <w:szCs w:val="40"/>
          <w:lang w:val="en-US" w:eastAsia="zh-CN"/>
        </w:rPr>
        <w:t>二、</w:t>
      </w:r>
      <w:r>
        <w:rPr>
          <w:rFonts w:hint="eastAsia" w:ascii="黑体" w:hAnsi="黑体" w:eastAsia="黑体" w:cs="黑体"/>
          <w:sz w:val="32"/>
          <w:szCs w:val="40"/>
        </w:rPr>
        <w:t>补贴对象</w:t>
      </w:r>
    </w:p>
    <w:p w14:paraId="3836D8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补贴对象由县级残联组织认定并收集相关倌息证明</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需符合如下相关条件</w:t>
      </w:r>
      <w:r>
        <w:rPr>
          <w:rFonts w:hint="eastAsia" w:ascii="仿宋_GB2312" w:hAnsi="仿宋_GB2312" w:eastAsia="仿宋_GB2312" w:cs="仿宋_GB2312"/>
          <w:sz w:val="32"/>
          <w:szCs w:val="40"/>
          <w:lang w:eastAsia="zh-CN"/>
        </w:rPr>
        <w:t>：</w:t>
      </w:r>
    </w:p>
    <w:p w14:paraId="2F0ECF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40"/>
          <w:lang w:eastAsia="zh-CN"/>
        </w:rPr>
      </w:pPr>
      <w:r>
        <w:rPr>
          <w:rFonts w:hint="eastAsia" w:ascii="楷体_GB2312" w:hAnsi="楷体_GB2312" w:eastAsia="楷体_GB2312" w:cs="楷体_GB2312"/>
          <w:sz w:val="32"/>
          <w:szCs w:val="40"/>
          <w:lang w:eastAsia="zh-CN"/>
        </w:rPr>
        <w:t>（</w:t>
      </w:r>
      <w:r>
        <w:rPr>
          <w:rFonts w:hint="eastAsia" w:ascii="楷体_GB2312" w:hAnsi="楷体_GB2312" w:eastAsia="楷体_GB2312" w:cs="楷体_GB2312"/>
          <w:sz w:val="32"/>
          <w:szCs w:val="40"/>
        </w:rPr>
        <w:t>一</w:t>
      </w:r>
      <w:r>
        <w:rPr>
          <w:rFonts w:hint="eastAsia" w:ascii="楷体_GB2312" w:hAnsi="楷体_GB2312" w:eastAsia="楷体_GB2312" w:cs="楷体_GB2312"/>
          <w:sz w:val="32"/>
          <w:szCs w:val="40"/>
          <w:lang w:eastAsia="zh-CN"/>
        </w:rPr>
        <w:t>）</w:t>
      </w:r>
      <w:r>
        <w:rPr>
          <w:rFonts w:hint="eastAsia" w:ascii="楷体_GB2312" w:hAnsi="楷体_GB2312" w:eastAsia="楷体_GB2312" w:cs="楷体_GB2312"/>
          <w:sz w:val="32"/>
          <w:szCs w:val="40"/>
        </w:rPr>
        <w:t>对象范围</w:t>
      </w:r>
      <w:r>
        <w:rPr>
          <w:rFonts w:hint="eastAsia" w:ascii="楷体_GB2312" w:hAnsi="楷体_GB2312" w:eastAsia="楷体_GB2312" w:cs="楷体_GB2312"/>
          <w:sz w:val="32"/>
          <w:szCs w:val="40"/>
          <w:lang w:eastAsia="zh-CN"/>
        </w:rPr>
        <w:t>：</w:t>
      </w:r>
    </w:p>
    <w:p w14:paraId="672D9FE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1.纳入低保或特困救助供养范围的智力、精神和重度残疾人</w:t>
      </w:r>
      <w:r>
        <w:rPr>
          <w:rFonts w:hint="eastAsia" w:ascii="仿宋_GB2312" w:hAnsi="仿宋_GB2312" w:eastAsia="仿宋_GB2312" w:cs="仿宋_GB2312"/>
          <w:sz w:val="32"/>
          <w:szCs w:val="40"/>
          <w:lang w:eastAsia="zh-CN"/>
        </w:rPr>
        <w:t>。</w:t>
      </w:r>
    </w:p>
    <w:p w14:paraId="28CE61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2</w:t>
      </w:r>
      <w:r>
        <w:rPr>
          <w:rFonts w:hint="eastAsia" w:ascii="仿宋_GB2312" w:hAnsi="仿宋_GB2312" w:eastAsia="仿宋_GB2312" w:cs="仿宋_GB2312"/>
          <w:sz w:val="32"/>
          <w:szCs w:val="40"/>
          <w:lang w:val="en-US" w:eastAsia="zh-CN"/>
        </w:rPr>
        <w:t>.</w:t>
      </w:r>
      <w:r>
        <w:rPr>
          <w:rFonts w:hint="eastAsia" w:ascii="仿宋_GB2312" w:hAnsi="仿宋_GB2312" w:eastAsia="仿宋_GB2312" w:cs="仿宋_GB2312"/>
          <w:sz w:val="32"/>
          <w:szCs w:val="40"/>
        </w:rPr>
        <w:t>纳入防止返</w:t>
      </w:r>
      <w:r>
        <w:rPr>
          <w:rFonts w:hint="eastAsia" w:ascii="仿宋_GB2312" w:hAnsi="仿宋_GB2312" w:eastAsia="仿宋_GB2312" w:cs="仿宋_GB2312"/>
          <w:sz w:val="32"/>
          <w:szCs w:val="40"/>
          <w:lang w:val="en-US" w:eastAsia="zh-CN"/>
        </w:rPr>
        <w:t>贫</w:t>
      </w:r>
      <w:r>
        <w:rPr>
          <w:rFonts w:hint="eastAsia" w:ascii="仿宋_GB2312" w:hAnsi="仿宋_GB2312" w:eastAsia="仿宋_GB2312" w:cs="仿宋_GB2312"/>
          <w:sz w:val="32"/>
          <w:szCs w:val="40"/>
        </w:rPr>
        <w:t>动态监测和帮状机制的智力、精神和重度残疾人。</w:t>
      </w:r>
    </w:p>
    <w:p w14:paraId="166A63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3.经认定</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家庭人均收入低于当地低保标准1.5倍左右的低收入智力、精神和重度残疾人。</w:t>
      </w:r>
    </w:p>
    <w:p w14:paraId="78354D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4.一户多残、以老养残等特殊困难家庭中的智力、精神和重度残疾人</w:t>
      </w:r>
      <w:r>
        <w:rPr>
          <w:rFonts w:hint="eastAsia" w:ascii="仿宋_GB2312" w:hAnsi="仿宋_GB2312" w:eastAsia="仿宋_GB2312" w:cs="仿宋_GB2312"/>
          <w:sz w:val="32"/>
          <w:szCs w:val="40"/>
          <w:lang w:eastAsia="zh-CN"/>
        </w:rPr>
        <w:t>。</w:t>
      </w:r>
    </w:p>
    <w:p w14:paraId="26DCD5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40"/>
          <w:lang w:eastAsia="zh-CN"/>
        </w:rPr>
      </w:pPr>
      <w:r>
        <w:rPr>
          <w:rFonts w:hint="eastAsia" w:ascii="楷体_GB2312" w:hAnsi="楷体_GB2312" w:eastAsia="楷体_GB2312" w:cs="楷体_GB2312"/>
          <w:sz w:val="32"/>
          <w:szCs w:val="40"/>
          <w:lang w:eastAsia="zh-CN"/>
        </w:rPr>
        <w:t>（二）对象条件：</w:t>
      </w:r>
    </w:p>
    <w:p w14:paraId="5DA776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残疾评定补贴应发给当年进行残疾评定并办理残疾人证的困难智力、精神和重度残疾人本人。如果当年人数不足</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可根据实际情况将补贴对象扩展到上一年度进行残疾评定并办理残疾人证且未发放补贴的困难智力、精神和重度残疾人。</w:t>
      </w:r>
    </w:p>
    <w:p w14:paraId="3836B5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重度残疾人的界定是残疾等级为一级、二级的残疾人。</w:t>
      </w:r>
    </w:p>
    <w:p w14:paraId="21497D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40"/>
        </w:rPr>
      </w:pPr>
      <w:r>
        <w:rPr>
          <w:rFonts w:hint="eastAsia" w:ascii="黑体" w:hAnsi="黑体" w:eastAsia="黑体" w:cs="黑体"/>
          <w:sz w:val="32"/>
          <w:szCs w:val="40"/>
        </w:rPr>
        <w:t>三、补贴标准</w:t>
      </w:r>
    </w:p>
    <w:p w14:paraId="796986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中央财政彩票公益金的参考补贴标准为平均每人150元。各地残联在确保完成任务的前提下</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可结合本地实际</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在摸清不同残疾类别、残疾等级残疾评定费用情况的基础上</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制定具体的分类分级补贴标准</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补贴标准不得高于评残实际支出</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提高补贴标准与现实情况的相符性</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保障政策实施的公平性。</w:t>
      </w:r>
    </w:p>
    <w:p w14:paraId="5E56FC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40"/>
        </w:rPr>
      </w:pPr>
      <w:r>
        <w:rPr>
          <w:rFonts w:hint="eastAsia" w:ascii="黑体" w:hAnsi="黑体" w:eastAsia="黑体" w:cs="黑体"/>
          <w:sz w:val="32"/>
          <w:szCs w:val="40"/>
        </w:rPr>
        <w:t>四、实施要求</w:t>
      </w:r>
    </w:p>
    <w:p w14:paraId="69C1CA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楷体_GB2312" w:hAnsi="楷体_GB2312" w:eastAsia="楷体_GB2312" w:cs="楷体_GB2312"/>
          <w:sz w:val="32"/>
          <w:szCs w:val="40"/>
          <w:lang w:eastAsia="zh-CN"/>
        </w:rPr>
        <w:t>（一）加强领导，认真组织实施。</w:t>
      </w:r>
      <w:r>
        <w:rPr>
          <w:rFonts w:hint="eastAsia" w:ascii="仿宋_GB2312" w:hAnsi="仿宋_GB2312" w:eastAsia="仿宋_GB2312" w:cs="仿宋_GB2312"/>
          <w:sz w:val="32"/>
          <w:szCs w:val="40"/>
        </w:rPr>
        <w:t>各级残联要高度重视项目工作</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与财政等部门加强沟通协调</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通力合作</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做好项目组织实施工作</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保证项目资金发挥最大效益。要加强制度建设</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制定切实可行的项目管理办法</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提高管理水平和服务能力</w:t>
      </w:r>
      <w:r>
        <w:rPr>
          <w:rFonts w:hint="eastAsia" w:ascii="仿宋_GB2312" w:hAnsi="仿宋_GB2312" w:eastAsia="仿宋_GB2312" w:cs="仿宋_GB2312"/>
          <w:sz w:val="32"/>
          <w:szCs w:val="40"/>
          <w:lang w:eastAsia="zh-CN"/>
        </w:rPr>
        <w:t>。</w:t>
      </w:r>
    </w:p>
    <w:p w14:paraId="1EF40D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楷体_GB2312" w:hAnsi="楷体_GB2312" w:eastAsia="楷体_GB2312" w:cs="楷体_GB2312"/>
          <w:sz w:val="32"/>
          <w:szCs w:val="40"/>
          <w:lang w:eastAsia="zh-CN"/>
        </w:rPr>
        <w:t>（二）科学合理确定资助对象。</w:t>
      </w:r>
      <w:r>
        <w:rPr>
          <w:rFonts w:hint="eastAsia" w:ascii="仿宋_GB2312" w:hAnsi="仿宋_GB2312" w:eastAsia="仿宋_GB2312" w:cs="仿宋_GB2312"/>
          <w:sz w:val="32"/>
          <w:szCs w:val="40"/>
        </w:rPr>
        <w:t>各地要认真落实项目的要求</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必须由符合条件的残疾人或其监护人提出申请</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县级残联认真审核</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公平、公正、公开确定资助对象</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确保困难智力、精神和重度残疾人残疾评定得到补贴。</w:t>
      </w:r>
    </w:p>
    <w:p w14:paraId="625D7D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楷体_GB2312" w:hAnsi="楷体_GB2312" w:eastAsia="楷体_GB2312" w:cs="楷体_GB2312"/>
          <w:sz w:val="32"/>
          <w:szCs w:val="40"/>
          <w:lang w:eastAsia="zh-CN"/>
        </w:rPr>
        <w:t>（三）严格项目资金管理。</w:t>
      </w:r>
      <w:r>
        <w:rPr>
          <w:rFonts w:hint="eastAsia" w:ascii="仿宋_GB2312" w:hAnsi="仿宋_GB2312" w:eastAsia="仿宋_GB2312" w:cs="仿宋_GB2312"/>
          <w:sz w:val="32"/>
          <w:szCs w:val="40"/>
        </w:rPr>
        <w:t>各地要及时拨付项目资金</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加快预算执行。要严格执行相关财务规定</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补贴资金原则上按照规定拨付残疾人本人账户</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减少现金形式发放。要加强资金使用的监督管理</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不得虚报冒领、挪用、挤占和截留</w:t>
      </w:r>
      <w:r>
        <w:rPr>
          <w:rFonts w:hint="eastAsia" w:ascii="仿宋_GB2312" w:hAnsi="仿宋_GB2312" w:eastAsia="仿宋_GB2312" w:cs="仿宋_GB2312"/>
          <w:sz w:val="32"/>
          <w:szCs w:val="40"/>
          <w:lang w:eastAsia="zh-CN"/>
        </w:rPr>
        <w:t>。</w:t>
      </w:r>
    </w:p>
    <w:p w14:paraId="75B532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楷体_GB2312" w:hAnsi="楷体_GB2312" w:eastAsia="楷体_GB2312" w:cs="楷体_GB2312"/>
          <w:sz w:val="32"/>
          <w:szCs w:val="40"/>
          <w:lang w:eastAsia="zh-CN"/>
        </w:rPr>
        <w:t>（四）做好项目的督导检查和绩效管理工作。</w:t>
      </w:r>
      <w:r>
        <w:rPr>
          <w:rFonts w:hint="eastAsia" w:ascii="仿宋_GB2312" w:hAnsi="仿宋_GB2312" w:eastAsia="仿宋_GB2312" w:cs="仿宋_GB2312"/>
          <w:sz w:val="32"/>
          <w:szCs w:val="40"/>
        </w:rPr>
        <w:t>各地要根据下达的绩效目标对项目开展情况进行检查评估</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通过中期评估、定期抽查和进度通报等方式</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及时发现和解决项目推进中出现的问题。年度结束后要开展绩效自评</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有条件的地方可委托第三方开展绩效评价。绩效自评和评价结果将作为下年度预算安排的重要依据。</w:t>
      </w:r>
    </w:p>
    <w:p w14:paraId="1B4C4F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楷体_GB2312" w:hAnsi="楷体_GB2312" w:eastAsia="楷体_GB2312" w:cs="楷体_GB2312"/>
          <w:sz w:val="32"/>
          <w:szCs w:val="40"/>
          <w:lang w:eastAsia="zh-CN"/>
        </w:rPr>
        <w:t>（五）做好宣传工作。</w:t>
      </w:r>
      <w:r>
        <w:rPr>
          <w:rFonts w:hint="eastAsia" w:ascii="仿宋_GB2312" w:hAnsi="仿宋_GB2312" w:eastAsia="仿宋_GB2312" w:cs="仿宋_GB2312"/>
          <w:sz w:val="32"/>
          <w:szCs w:val="40"/>
        </w:rPr>
        <w:t>运用广播、电视、报刊、网络等媒体</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积极宣传项目的宗旨、内容、实施成效和中央专项彩票公益金惠残助残政策等</w:t>
      </w:r>
      <w:r>
        <w:rPr>
          <w:rFonts w:hint="eastAsia" w:ascii="仿宋_GB2312" w:hAnsi="仿宋_GB2312" w:eastAsia="仿宋_GB2312" w:cs="仿宋_GB2312"/>
          <w:sz w:val="32"/>
          <w:szCs w:val="40"/>
          <w:lang w:eastAsia="zh-CN"/>
        </w:rPr>
        <w:t>，</w:t>
      </w:r>
      <w:bookmarkStart w:id="0" w:name="_GoBack"/>
      <w:bookmarkEnd w:id="0"/>
      <w:r>
        <w:rPr>
          <w:rFonts w:hint="eastAsia" w:ascii="仿宋_GB2312" w:hAnsi="仿宋_GB2312" w:eastAsia="仿宋_GB2312" w:cs="仿宋_GB2312"/>
          <w:sz w:val="32"/>
          <w:szCs w:val="40"/>
        </w:rPr>
        <w:t>使社会各界、广大残疾人及其亲友了解彩票公益金发挥的作用</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扩大彩票公益金的社会影响力</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使残疾人感受到党和政府的关怀和温暖。</w:t>
      </w:r>
    </w:p>
    <w:sectPr>
      <w:footerReference r:id="rId3" w:type="default"/>
      <w:pgSz w:w="11906" w:h="16838"/>
      <w:pgMar w:top="2041" w:right="1474" w:bottom="1928" w:left="1587" w:header="851" w:footer="1417" w:gutter="0"/>
      <w:pgNumType w:fmt="decimal"/>
      <w:cols w:space="0" w:num="1"/>
      <w:rtlGutter w:val="0"/>
      <w:docGrid w:type="lines" w:linePitch="30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47EDA">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D5C6C3">
                          <w:pPr>
                            <w:pStyle w:val="2"/>
                            <w:rPr>
                              <w:rFonts w:hint="eastAsia" w:ascii="仿宋_GB2312" w:hAnsi="仿宋_GB2312" w:eastAsia="仿宋_GB2312" w:cs="仿宋_GB2312"/>
                              <w:sz w:val="28"/>
                              <w:szCs w:val="44"/>
                              <w:lang w:eastAsia="zh-CN"/>
                            </w:rPr>
                          </w:pPr>
                          <w:r>
                            <w:rPr>
                              <w:rFonts w:hint="eastAsia" w:ascii="仿宋_GB2312" w:hAnsi="仿宋_GB2312" w:eastAsia="仿宋_GB2312" w:cs="仿宋_GB2312"/>
                              <w:sz w:val="28"/>
                              <w:szCs w:val="44"/>
                              <w:lang w:eastAsia="zh-CN"/>
                            </w:rPr>
                            <w:t xml:space="preserve">— </w:t>
                          </w:r>
                          <w:r>
                            <w:rPr>
                              <w:rFonts w:hint="eastAsia" w:ascii="仿宋_GB2312" w:hAnsi="仿宋_GB2312" w:eastAsia="仿宋_GB2312" w:cs="仿宋_GB2312"/>
                              <w:sz w:val="28"/>
                              <w:szCs w:val="44"/>
                              <w:lang w:eastAsia="zh-CN"/>
                            </w:rPr>
                            <w:fldChar w:fldCharType="begin"/>
                          </w:r>
                          <w:r>
                            <w:rPr>
                              <w:rFonts w:hint="eastAsia" w:ascii="仿宋_GB2312" w:hAnsi="仿宋_GB2312" w:eastAsia="仿宋_GB2312" w:cs="仿宋_GB2312"/>
                              <w:sz w:val="28"/>
                              <w:szCs w:val="44"/>
                              <w:lang w:eastAsia="zh-CN"/>
                            </w:rPr>
                            <w:instrText xml:space="preserve"> PAGE  \* MERGEFORMAT </w:instrText>
                          </w:r>
                          <w:r>
                            <w:rPr>
                              <w:rFonts w:hint="eastAsia" w:ascii="仿宋_GB2312" w:hAnsi="仿宋_GB2312" w:eastAsia="仿宋_GB2312" w:cs="仿宋_GB2312"/>
                              <w:sz w:val="28"/>
                              <w:szCs w:val="44"/>
                              <w:lang w:eastAsia="zh-CN"/>
                            </w:rPr>
                            <w:fldChar w:fldCharType="separate"/>
                          </w:r>
                          <w:r>
                            <w:rPr>
                              <w:rFonts w:hint="eastAsia" w:ascii="仿宋_GB2312" w:hAnsi="仿宋_GB2312" w:eastAsia="仿宋_GB2312" w:cs="仿宋_GB2312"/>
                              <w:sz w:val="28"/>
                              <w:szCs w:val="44"/>
                              <w:lang w:eastAsia="zh-CN"/>
                            </w:rPr>
                            <w:t>1</w:t>
                          </w:r>
                          <w:r>
                            <w:rPr>
                              <w:rFonts w:hint="eastAsia" w:ascii="仿宋_GB2312" w:hAnsi="仿宋_GB2312" w:eastAsia="仿宋_GB2312" w:cs="仿宋_GB2312"/>
                              <w:sz w:val="28"/>
                              <w:szCs w:val="44"/>
                              <w:lang w:eastAsia="zh-CN"/>
                            </w:rPr>
                            <w:fldChar w:fldCharType="end"/>
                          </w:r>
                          <w:r>
                            <w:rPr>
                              <w:rFonts w:hint="eastAsia" w:ascii="仿宋_GB2312" w:hAnsi="仿宋_GB2312" w:eastAsia="仿宋_GB2312" w:cs="仿宋_GB2312"/>
                              <w:sz w:val="28"/>
                              <w:szCs w:val="44"/>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7D5C6C3">
                    <w:pPr>
                      <w:pStyle w:val="2"/>
                      <w:rPr>
                        <w:rFonts w:hint="eastAsia" w:ascii="仿宋_GB2312" w:hAnsi="仿宋_GB2312" w:eastAsia="仿宋_GB2312" w:cs="仿宋_GB2312"/>
                        <w:sz w:val="28"/>
                        <w:szCs w:val="44"/>
                        <w:lang w:eastAsia="zh-CN"/>
                      </w:rPr>
                    </w:pPr>
                    <w:r>
                      <w:rPr>
                        <w:rFonts w:hint="eastAsia" w:ascii="仿宋_GB2312" w:hAnsi="仿宋_GB2312" w:eastAsia="仿宋_GB2312" w:cs="仿宋_GB2312"/>
                        <w:sz w:val="28"/>
                        <w:szCs w:val="44"/>
                        <w:lang w:eastAsia="zh-CN"/>
                      </w:rPr>
                      <w:t xml:space="preserve">— </w:t>
                    </w:r>
                    <w:r>
                      <w:rPr>
                        <w:rFonts w:hint="eastAsia" w:ascii="仿宋_GB2312" w:hAnsi="仿宋_GB2312" w:eastAsia="仿宋_GB2312" w:cs="仿宋_GB2312"/>
                        <w:sz w:val="28"/>
                        <w:szCs w:val="44"/>
                        <w:lang w:eastAsia="zh-CN"/>
                      </w:rPr>
                      <w:fldChar w:fldCharType="begin"/>
                    </w:r>
                    <w:r>
                      <w:rPr>
                        <w:rFonts w:hint="eastAsia" w:ascii="仿宋_GB2312" w:hAnsi="仿宋_GB2312" w:eastAsia="仿宋_GB2312" w:cs="仿宋_GB2312"/>
                        <w:sz w:val="28"/>
                        <w:szCs w:val="44"/>
                        <w:lang w:eastAsia="zh-CN"/>
                      </w:rPr>
                      <w:instrText xml:space="preserve"> PAGE  \* MERGEFORMAT </w:instrText>
                    </w:r>
                    <w:r>
                      <w:rPr>
                        <w:rFonts w:hint="eastAsia" w:ascii="仿宋_GB2312" w:hAnsi="仿宋_GB2312" w:eastAsia="仿宋_GB2312" w:cs="仿宋_GB2312"/>
                        <w:sz w:val="28"/>
                        <w:szCs w:val="44"/>
                        <w:lang w:eastAsia="zh-CN"/>
                      </w:rPr>
                      <w:fldChar w:fldCharType="separate"/>
                    </w:r>
                    <w:r>
                      <w:rPr>
                        <w:rFonts w:hint="eastAsia" w:ascii="仿宋_GB2312" w:hAnsi="仿宋_GB2312" w:eastAsia="仿宋_GB2312" w:cs="仿宋_GB2312"/>
                        <w:sz w:val="28"/>
                        <w:szCs w:val="44"/>
                        <w:lang w:eastAsia="zh-CN"/>
                      </w:rPr>
                      <w:t>1</w:t>
                    </w:r>
                    <w:r>
                      <w:rPr>
                        <w:rFonts w:hint="eastAsia" w:ascii="仿宋_GB2312" w:hAnsi="仿宋_GB2312" w:eastAsia="仿宋_GB2312" w:cs="仿宋_GB2312"/>
                        <w:sz w:val="28"/>
                        <w:szCs w:val="44"/>
                        <w:lang w:eastAsia="zh-CN"/>
                      </w:rPr>
                      <w:fldChar w:fldCharType="end"/>
                    </w:r>
                    <w:r>
                      <w:rPr>
                        <w:rFonts w:hint="eastAsia" w:ascii="仿宋_GB2312" w:hAnsi="仿宋_GB2312" w:eastAsia="仿宋_GB2312" w:cs="仿宋_GB2312"/>
                        <w:sz w:val="28"/>
                        <w:szCs w:val="44"/>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071D60"/>
    <w:rsid w:val="34337E7D"/>
    <w:rsid w:val="375A31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1482</Words>
  <Characters>1500</Characters>
  <Lines>0</Lines>
  <Paragraphs>0</Paragraphs>
  <TotalTime>11</TotalTime>
  <ScaleCrop>false</ScaleCrop>
  <LinksUpToDate>false</LinksUpToDate>
  <CharactersWithSpaces>1507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2021-08-25T07:18:00Z</dcterms:created>
  <dc:creator>Administrator</dc:creator>
  <cp:lastModifiedBy>Administrator</cp:lastModifiedBy>
  <dcterms:modified xsi:type="dcterms:W3CDTF">2025-05-22T07:44:08Z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eyJoZGlkIjoiNDExZmE4YjY0OWQzMzNhODljZjI0OTBhNTdmZTQ2NzEifQ==</vt:lpwstr>
  </property>
  <property fmtid="{D5CDD505-2E9C-101B-9397-08002B2CF9AE}" pid="4" name="ICV">
    <vt:lpwstr>2F040EEEBF3545A986E63CFBAE8BCEEA_12</vt:lpwstr>
  </property>
</Properties>
</file>