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3035"/>
        <w:gridCol w:w="2644"/>
        <w:gridCol w:w="2081"/>
        <w:gridCol w:w="1434"/>
      </w:tblGrid>
      <w:tr w:rsidR="00FF204E" w:rsidTr="008F54E4">
        <w:trPr>
          <w:trHeight w:val="600"/>
        </w:trPr>
        <w:tc>
          <w:tcPr>
            <w:tcW w:w="9194" w:type="dxa"/>
            <w:gridSpan w:val="4"/>
            <w:vAlign w:val="center"/>
          </w:tcPr>
          <w:p w:rsidR="00FF204E" w:rsidRDefault="00FF204E" w:rsidP="008F54E4">
            <w:pPr>
              <w:spacing w:line="600" w:lineRule="exact"/>
              <w:jc w:val="left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附件3</w:t>
            </w:r>
          </w:p>
          <w:p w:rsidR="00FF204E" w:rsidRDefault="00FF204E" w:rsidP="008F54E4">
            <w:pPr>
              <w:widowControl/>
              <w:jc w:val="center"/>
              <w:rPr>
                <w:rFonts w:ascii="黑体" w:eastAsia="黑体" w:hAnsi="宋体" w:hint="eastAsia"/>
                <w:bCs/>
                <w:spacing w:val="-8"/>
                <w:kern w:val="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pacing w:val="-8"/>
                <w:kern w:val="0"/>
                <w:sz w:val="30"/>
                <w:szCs w:val="30"/>
              </w:rPr>
              <w:t>贵州省文史研究馆（2014年度）</w:t>
            </w:r>
            <w:r>
              <w:rPr>
                <w:rFonts w:ascii="黑体" w:eastAsia="黑体" w:hint="eastAsia"/>
                <w:bCs/>
                <w:spacing w:val="-8"/>
                <w:kern w:val="0"/>
                <w:sz w:val="30"/>
                <w:szCs w:val="30"/>
              </w:rPr>
              <w:t>“</w:t>
            </w:r>
            <w:r>
              <w:rPr>
                <w:rFonts w:ascii="黑体" w:eastAsia="黑体" w:hAnsi="宋体" w:hint="eastAsia"/>
                <w:bCs/>
                <w:spacing w:val="-8"/>
                <w:kern w:val="0"/>
                <w:sz w:val="30"/>
                <w:szCs w:val="30"/>
              </w:rPr>
              <w:t>三公”经费公共财政拨款支出情况表</w:t>
            </w:r>
          </w:p>
        </w:tc>
      </w:tr>
      <w:tr w:rsidR="00FF204E" w:rsidTr="008F54E4">
        <w:trPr>
          <w:trHeight w:val="255"/>
        </w:trPr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204E" w:rsidRDefault="00FF204E" w:rsidP="008F54E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FF204E" w:rsidTr="008F54E4">
        <w:trPr>
          <w:trHeight w:hRule="exact" w:val="1701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b/>
                <w:bCs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2014</w:t>
            </w:r>
            <w:r>
              <w:rPr>
                <w:b/>
                <w:bCs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“三公”经费支出占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公共财政预算支出的比重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F204E" w:rsidTr="008F54E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F204E" w:rsidTr="008F54E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一、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204E" w:rsidTr="008F54E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二、公务接待费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0.0082%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204E" w:rsidTr="008F54E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三、公务车购置及运行维护费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0.025%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204E" w:rsidTr="008F54E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、公务车运行维护费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0.025%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204E" w:rsidTr="008F54E4">
        <w:trPr>
          <w:trHeight w:hRule="exact" w:val="1134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、公务车购置费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F204E" w:rsidTr="008F54E4">
        <w:trPr>
          <w:trHeight w:val="255"/>
        </w:trPr>
        <w:tc>
          <w:tcPr>
            <w:tcW w:w="3035" w:type="dxa"/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FF204E" w:rsidRDefault="00FF204E" w:rsidP="008F54E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F204E" w:rsidTr="008F54E4">
        <w:trPr>
          <w:trHeight w:val="255"/>
        </w:trPr>
        <w:tc>
          <w:tcPr>
            <w:tcW w:w="9194" w:type="dxa"/>
            <w:gridSpan w:val="4"/>
            <w:vAlign w:val="center"/>
          </w:tcPr>
          <w:p w:rsidR="00FF204E" w:rsidRDefault="00FF204E" w:rsidP="008F54E4">
            <w:pPr>
              <w:widowControl/>
              <w:ind w:left="900" w:hangingChars="450" w:hanging="9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说明：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、因公出国（境）费，指单位工作人员公务出国（境）的住宿费、旅费、伙食补助费、杂费、培训费等支出。</w:t>
            </w:r>
          </w:p>
        </w:tc>
      </w:tr>
      <w:tr w:rsidR="00FF204E" w:rsidTr="008F54E4">
        <w:trPr>
          <w:trHeight w:val="255"/>
        </w:trPr>
        <w:tc>
          <w:tcPr>
            <w:tcW w:w="9194" w:type="dxa"/>
            <w:gridSpan w:val="4"/>
            <w:vAlign w:val="center"/>
          </w:tcPr>
          <w:p w:rsidR="00FF204E" w:rsidRDefault="00FF204E" w:rsidP="008F54E4">
            <w:pPr>
              <w:widowControl/>
              <w:ind w:left="900" w:hangingChars="450" w:hanging="9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、公务用车购置及运行费，指单位公务用车购置费及租用费、燃料费、维修费、过路过桥费、保险费、安全奖励费用等支出。公务用车指用于履行公务的机动车辆，包括一般公务用车和执法执勤用车等。</w:t>
            </w:r>
          </w:p>
        </w:tc>
      </w:tr>
      <w:tr w:rsidR="00FF204E" w:rsidTr="008F54E4">
        <w:trPr>
          <w:trHeight w:val="255"/>
        </w:trPr>
        <w:tc>
          <w:tcPr>
            <w:tcW w:w="7760" w:type="dxa"/>
            <w:gridSpan w:val="3"/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、公务接待费，指单位按规定开支的各类公务接待（含外宾接待）支出。</w:t>
            </w:r>
          </w:p>
        </w:tc>
        <w:tc>
          <w:tcPr>
            <w:tcW w:w="1434" w:type="dxa"/>
            <w:vAlign w:val="center"/>
          </w:tcPr>
          <w:p w:rsidR="00FF204E" w:rsidRDefault="00FF204E" w:rsidP="008F54E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F204E" w:rsidTr="008F54E4">
        <w:trPr>
          <w:trHeight w:val="255"/>
        </w:trPr>
        <w:tc>
          <w:tcPr>
            <w:tcW w:w="9194" w:type="dxa"/>
            <w:gridSpan w:val="4"/>
            <w:vAlign w:val="center"/>
          </w:tcPr>
          <w:p w:rsidR="00FF204E" w:rsidRDefault="00FF204E" w:rsidP="008F54E4">
            <w:pPr>
              <w:widowControl/>
              <w:ind w:left="900" w:hangingChars="450" w:hanging="9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三公”经费公共财政拨款预算数是指当年年初预算安排的财政拨款数，不含执行中追加预算安排。</w:t>
            </w:r>
          </w:p>
        </w:tc>
      </w:tr>
      <w:tr w:rsidR="00FF204E" w:rsidTr="008F54E4">
        <w:trPr>
          <w:trHeight w:val="255"/>
        </w:trPr>
        <w:tc>
          <w:tcPr>
            <w:tcW w:w="9194" w:type="dxa"/>
            <w:gridSpan w:val="4"/>
            <w:vAlign w:val="center"/>
          </w:tcPr>
          <w:p w:rsidR="00FF204E" w:rsidRDefault="00FF204E" w:rsidP="008F54E4">
            <w:pPr>
              <w:widowControl/>
              <w:ind w:left="900" w:hangingChars="450" w:hanging="9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5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、为加强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三公”经费管理，按照国家和省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厉行节约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的相关要求，贵州省省本级因公出国（境）费、公务车购置费实行总额控制，年初未分配，年度间根据实际情况，按程序审批后分配到具体部门。</w:t>
            </w:r>
          </w:p>
        </w:tc>
      </w:tr>
    </w:tbl>
    <w:p w:rsidR="00FF204E" w:rsidRDefault="00FF204E" w:rsidP="00FF204E">
      <w:pPr>
        <w:rPr>
          <w:rFonts w:ascii="仿宋_GB2312" w:eastAsia="仿宋_GB2312" w:hint="eastAsia"/>
          <w:sz w:val="32"/>
          <w:szCs w:val="32"/>
        </w:rPr>
      </w:pPr>
    </w:p>
    <w:p w:rsidR="00E8205F" w:rsidRDefault="00E8205F"/>
    <w:sectPr w:rsidR="00E820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04E"/>
    <w:rsid w:val="00E8205F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2014-05-22T02:27:00Z</dcterms:created>
  <dcterms:modified xsi:type="dcterms:W3CDTF">2014-05-22T02:27:00Z</dcterms:modified>
</cp:coreProperties>
</file>