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3" w:type="dxa"/>
        <w:tblLayout w:type="fixed"/>
        <w:tblLook w:val="0000"/>
      </w:tblPr>
      <w:tblGrid>
        <w:gridCol w:w="961"/>
        <w:gridCol w:w="961"/>
        <w:gridCol w:w="2496"/>
        <w:gridCol w:w="830"/>
        <w:gridCol w:w="1147"/>
        <w:gridCol w:w="1147"/>
        <w:gridCol w:w="1651"/>
      </w:tblGrid>
      <w:tr w:rsidR="00DC4FA2" w:rsidTr="008F54E4">
        <w:trPr>
          <w:trHeight w:val="600"/>
        </w:trPr>
        <w:tc>
          <w:tcPr>
            <w:tcW w:w="9193" w:type="dxa"/>
            <w:gridSpan w:val="7"/>
            <w:vAlign w:val="center"/>
          </w:tcPr>
          <w:p w:rsidR="00DC4FA2" w:rsidRDefault="00DC4FA2" w:rsidP="008F54E4">
            <w:pPr>
              <w:widowControl/>
              <w:jc w:val="left"/>
              <w:rPr>
                <w:rFonts w:ascii="宋体" w:hAnsi="宋体" w:hint="eastAsia"/>
                <w:b/>
                <w:bCs/>
                <w:kern w:val="0"/>
                <w:sz w:val="28"/>
                <w:szCs w:val="28"/>
              </w:rPr>
            </w:pPr>
            <w:r>
              <w:rPr>
                <w:rFonts w:ascii="宋体" w:hAnsi="宋体" w:hint="eastAsia"/>
                <w:b/>
                <w:bCs/>
                <w:kern w:val="0"/>
                <w:sz w:val="28"/>
                <w:szCs w:val="28"/>
              </w:rPr>
              <w:t>附件2</w:t>
            </w:r>
          </w:p>
          <w:p w:rsidR="00DC4FA2" w:rsidRDefault="00DC4FA2" w:rsidP="008F54E4">
            <w:pPr>
              <w:widowControl/>
              <w:rPr>
                <w:rFonts w:ascii="黑体" w:eastAsia="黑体" w:hAnsi="宋体" w:hint="eastAsia"/>
                <w:bCs/>
                <w:kern w:val="0"/>
                <w:sz w:val="30"/>
                <w:szCs w:val="30"/>
              </w:rPr>
            </w:pPr>
            <w:r>
              <w:rPr>
                <w:rFonts w:ascii="黑体" w:eastAsia="黑体" w:hAnsi="宋体" w:hint="eastAsia"/>
                <w:bCs/>
                <w:kern w:val="0"/>
                <w:sz w:val="30"/>
                <w:szCs w:val="30"/>
              </w:rPr>
              <w:t>贵州省文史研究馆（2014年度）年度部门预算公共财政预算支出表</w:t>
            </w:r>
          </w:p>
        </w:tc>
      </w:tr>
      <w:tr w:rsidR="00DC4FA2" w:rsidTr="008F54E4">
        <w:trPr>
          <w:trHeight w:val="255"/>
        </w:trPr>
        <w:tc>
          <w:tcPr>
            <w:tcW w:w="961" w:type="dxa"/>
            <w:tcBorders>
              <w:top w:val="nil"/>
              <w:left w:val="nil"/>
              <w:bottom w:val="single" w:sz="4" w:space="0" w:color="auto"/>
              <w:right w:val="nil"/>
            </w:tcBorders>
            <w:vAlign w:val="center"/>
          </w:tcPr>
          <w:p w:rsidR="00DC4FA2" w:rsidRDefault="00DC4FA2" w:rsidP="008F54E4">
            <w:pPr>
              <w:widowControl/>
              <w:jc w:val="left"/>
              <w:rPr>
                <w:rFonts w:ascii="宋体" w:hAnsi="宋体"/>
                <w:kern w:val="0"/>
                <w:sz w:val="20"/>
                <w:szCs w:val="20"/>
              </w:rPr>
            </w:pPr>
            <w:r>
              <w:rPr>
                <w:rFonts w:ascii="宋体" w:hAnsi="宋体" w:hint="eastAsia"/>
                <w:kern w:val="0"/>
                <w:sz w:val="20"/>
                <w:szCs w:val="20"/>
              </w:rPr>
              <w:t xml:space="preserve">　</w:t>
            </w:r>
          </w:p>
        </w:tc>
        <w:tc>
          <w:tcPr>
            <w:tcW w:w="961" w:type="dxa"/>
            <w:tcBorders>
              <w:top w:val="nil"/>
              <w:left w:val="nil"/>
              <w:bottom w:val="single" w:sz="4" w:space="0" w:color="auto"/>
              <w:right w:val="nil"/>
            </w:tcBorders>
            <w:vAlign w:val="center"/>
          </w:tcPr>
          <w:p w:rsidR="00DC4FA2" w:rsidRDefault="00DC4FA2" w:rsidP="008F54E4">
            <w:pPr>
              <w:widowControl/>
              <w:jc w:val="left"/>
              <w:rPr>
                <w:rFonts w:ascii="宋体" w:hAnsi="宋体"/>
                <w:kern w:val="0"/>
                <w:sz w:val="20"/>
                <w:szCs w:val="20"/>
              </w:rPr>
            </w:pPr>
            <w:r>
              <w:rPr>
                <w:rFonts w:ascii="宋体" w:hAnsi="宋体" w:hint="eastAsia"/>
                <w:kern w:val="0"/>
                <w:sz w:val="20"/>
                <w:szCs w:val="20"/>
              </w:rPr>
              <w:t xml:space="preserve">　</w:t>
            </w:r>
          </w:p>
        </w:tc>
        <w:tc>
          <w:tcPr>
            <w:tcW w:w="2496" w:type="dxa"/>
            <w:tcBorders>
              <w:top w:val="nil"/>
              <w:left w:val="nil"/>
              <w:bottom w:val="single" w:sz="4" w:space="0" w:color="auto"/>
              <w:right w:val="nil"/>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830" w:type="dxa"/>
            <w:tcBorders>
              <w:top w:val="nil"/>
              <w:left w:val="nil"/>
              <w:bottom w:val="single" w:sz="4" w:space="0" w:color="auto"/>
              <w:right w:val="nil"/>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nil"/>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nil"/>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nil"/>
            </w:tcBorders>
            <w:vAlign w:val="center"/>
          </w:tcPr>
          <w:p w:rsidR="00DC4FA2" w:rsidRDefault="00DC4FA2" w:rsidP="008F54E4">
            <w:pPr>
              <w:widowControl/>
              <w:jc w:val="right"/>
              <w:rPr>
                <w:rFonts w:ascii="宋体" w:hAnsi="宋体"/>
                <w:kern w:val="0"/>
                <w:sz w:val="20"/>
                <w:szCs w:val="20"/>
              </w:rPr>
            </w:pPr>
            <w:r>
              <w:rPr>
                <w:rFonts w:ascii="宋体" w:hAnsi="宋体" w:hint="eastAsia"/>
                <w:kern w:val="0"/>
                <w:sz w:val="20"/>
                <w:szCs w:val="20"/>
              </w:rPr>
              <w:t>单位：万元</w:t>
            </w:r>
          </w:p>
        </w:tc>
      </w:tr>
      <w:tr w:rsidR="00DC4FA2" w:rsidTr="008F54E4">
        <w:trPr>
          <w:trHeight w:hRule="exact" w:val="680"/>
        </w:trPr>
        <w:tc>
          <w:tcPr>
            <w:tcW w:w="1922" w:type="dxa"/>
            <w:gridSpan w:val="2"/>
            <w:tcBorders>
              <w:top w:val="single" w:sz="4" w:space="0" w:color="auto"/>
              <w:left w:val="single" w:sz="4" w:space="0" w:color="auto"/>
              <w:bottom w:val="single" w:sz="4" w:space="0" w:color="auto"/>
              <w:right w:val="single" w:sz="4" w:space="0" w:color="000000"/>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科目编码</w:t>
            </w:r>
          </w:p>
        </w:tc>
        <w:tc>
          <w:tcPr>
            <w:tcW w:w="2496" w:type="dxa"/>
            <w:vMerge w:val="restart"/>
            <w:tcBorders>
              <w:top w:val="nil"/>
              <w:left w:val="single" w:sz="4" w:space="0" w:color="auto"/>
              <w:bottom w:val="single" w:sz="4" w:space="0" w:color="000000"/>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科目名称</w:t>
            </w:r>
          </w:p>
        </w:tc>
        <w:tc>
          <w:tcPr>
            <w:tcW w:w="830" w:type="dxa"/>
            <w:vMerge w:val="restart"/>
            <w:tcBorders>
              <w:top w:val="nil"/>
              <w:left w:val="single" w:sz="4" w:space="0" w:color="auto"/>
              <w:bottom w:val="single" w:sz="4" w:space="0" w:color="000000"/>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合 计</w:t>
            </w:r>
          </w:p>
        </w:tc>
        <w:tc>
          <w:tcPr>
            <w:tcW w:w="1147" w:type="dxa"/>
            <w:vMerge w:val="restart"/>
            <w:tcBorders>
              <w:top w:val="nil"/>
              <w:left w:val="single" w:sz="4" w:space="0" w:color="auto"/>
              <w:bottom w:val="single" w:sz="4" w:space="0" w:color="000000"/>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基本支出</w:t>
            </w:r>
          </w:p>
        </w:tc>
        <w:tc>
          <w:tcPr>
            <w:tcW w:w="1147" w:type="dxa"/>
            <w:vMerge w:val="restart"/>
            <w:tcBorders>
              <w:top w:val="nil"/>
              <w:left w:val="single" w:sz="4" w:space="0" w:color="auto"/>
              <w:bottom w:val="single" w:sz="4" w:space="0" w:color="000000"/>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项目支出</w:t>
            </w:r>
          </w:p>
        </w:tc>
        <w:tc>
          <w:tcPr>
            <w:tcW w:w="1651" w:type="dxa"/>
            <w:vMerge w:val="restart"/>
            <w:tcBorders>
              <w:top w:val="nil"/>
              <w:left w:val="single" w:sz="4" w:space="0" w:color="auto"/>
              <w:bottom w:val="single" w:sz="4" w:space="0" w:color="000000"/>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备注</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类</w:t>
            </w: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款</w:t>
            </w:r>
          </w:p>
        </w:tc>
        <w:tc>
          <w:tcPr>
            <w:tcW w:w="2496" w:type="dxa"/>
            <w:vMerge/>
            <w:tcBorders>
              <w:top w:val="nil"/>
              <w:left w:val="nil"/>
              <w:bottom w:val="single" w:sz="4" w:space="0" w:color="auto"/>
              <w:right w:val="single" w:sz="4" w:space="0" w:color="auto"/>
            </w:tcBorders>
            <w:vAlign w:val="center"/>
          </w:tcPr>
          <w:p w:rsidR="00DC4FA2" w:rsidRDefault="00DC4FA2" w:rsidP="008F54E4">
            <w:pPr>
              <w:widowControl/>
              <w:jc w:val="left"/>
              <w:rPr>
                <w:rFonts w:ascii="宋体" w:hAnsi="宋体"/>
                <w:b/>
                <w:bCs/>
                <w:kern w:val="0"/>
                <w:sz w:val="20"/>
                <w:szCs w:val="20"/>
              </w:rPr>
            </w:pPr>
          </w:p>
        </w:tc>
        <w:tc>
          <w:tcPr>
            <w:tcW w:w="830" w:type="dxa"/>
            <w:vMerge/>
            <w:tcBorders>
              <w:top w:val="nil"/>
              <w:left w:val="nil"/>
              <w:bottom w:val="single" w:sz="4" w:space="0" w:color="auto"/>
              <w:right w:val="single" w:sz="4" w:space="0" w:color="auto"/>
            </w:tcBorders>
            <w:vAlign w:val="center"/>
          </w:tcPr>
          <w:p w:rsidR="00DC4FA2" w:rsidRDefault="00DC4FA2" w:rsidP="008F54E4">
            <w:pPr>
              <w:widowControl/>
              <w:jc w:val="left"/>
              <w:rPr>
                <w:rFonts w:ascii="宋体" w:hAnsi="宋体"/>
                <w:b/>
                <w:bCs/>
                <w:kern w:val="0"/>
                <w:sz w:val="20"/>
                <w:szCs w:val="20"/>
              </w:rPr>
            </w:pPr>
          </w:p>
        </w:tc>
        <w:tc>
          <w:tcPr>
            <w:tcW w:w="1147" w:type="dxa"/>
            <w:vMerge/>
            <w:tcBorders>
              <w:top w:val="nil"/>
              <w:left w:val="single" w:sz="4" w:space="0" w:color="auto"/>
              <w:bottom w:val="single" w:sz="4" w:space="0" w:color="000000"/>
              <w:right w:val="single" w:sz="4" w:space="0" w:color="auto"/>
            </w:tcBorders>
            <w:vAlign w:val="center"/>
          </w:tcPr>
          <w:p w:rsidR="00DC4FA2" w:rsidRDefault="00DC4FA2" w:rsidP="008F54E4">
            <w:pPr>
              <w:widowControl/>
              <w:jc w:val="left"/>
              <w:rPr>
                <w:rFonts w:ascii="宋体" w:hAnsi="宋体"/>
                <w:b/>
                <w:bCs/>
                <w:kern w:val="0"/>
                <w:sz w:val="20"/>
                <w:szCs w:val="20"/>
              </w:rPr>
            </w:pPr>
          </w:p>
        </w:tc>
        <w:tc>
          <w:tcPr>
            <w:tcW w:w="1147" w:type="dxa"/>
            <w:vMerge/>
            <w:tcBorders>
              <w:top w:val="nil"/>
              <w:left w:val="single" w:sz="4" w:space="0" w:color="auto"/>
              <w:bottom w:val="single" w:sz="4" w:space="0" w:color="000000"/>
              <w:right w:val="single" w:sz="4" w:space="0" w:color="auto"/>
            </w:tcBorders>
            <w:vAlign w:val="center"/>
          </w:tcPr>
          <w:p w:rsidR="00DC4FA2" w:rsidRDefault="00DC4FA2" w:rsidP="008F54E4">
            <w:pPr>
              <w:widowControl/>
              <w:jc w:val="left"/>
              <w:rPr>
                <w:rFonts w:ascii="宋体" w:hAnsi="宋体"/>
                <w:b/>
                <w:bCs/>
                <w:kern w:val="0"/>
                <w:sz w:val="20"/>
                <w:szCs w:val="20"/>
              </w:rPr>
            </w:pPr>
          </w:p>
        </w:tc>
        <w:tc>
          <w:tcPr>
            <w:tcW w:w="1651" w:type="dxa"/>
            <w:vMerge/>
            <w:tcBorders>
              <w:top w:val="nil"/>
              <w:left w:val="single" w:sz="4" w:space="0" w:color="auto"/>
              <w:bottom w:val="single" w:sz="4" w:space="0" w:color="000000"/>
              <w:right w:val="single" w:sz="4" w:space="0" w:color="auto"/>
            </w:tcBorders>
            <w:vAlign w:val="center"/>
          </w:tcPr>
          <w:p w:rsidR="00DC4FA2" w:rsidRDefault="00DC4FA2" w:rsidP="008F54E4">
            <w:pPr>
              <w:widowControl/>
              <w:jc w:val="left"/>
              <w:rPr>
                <w:rFonts w:ascii="宋体" w:hAnsi="宋体"/>
                <w:b/>
                <w:bCs/>
                <w:kern w:val="0"/>
                <w:sz w:val="20"/>
                <w:szCs w:val="20"/>
              </w:rPr>
            </w:pPr>
          </w:p>
        </w:tc>
      </w:tr>
      <w:tr w:rsidR="00DC4FA2" w:rsidTr="008F54E4">
        <w:trPr>
          <w:trHeight w:hRule="exact" w:val="680"/>
        </w:trPr>
        <w:tc>
          <w:tcPr>
            <w:tcW w:w="4418" w:type="dxa"/>
            <w:gridSpan w:val="3"/>
            <w:tcBorders>
              <w:top w:val="single" w:sz="4" w:space="0" w:color="auto"/>
              <w:left w:val="single" w:sz="4" w:space="0" w:color="auto"/>
              <w:bottom w:val="single" w:sz="4" w:space="0" w:color="auto"/>
              <w:right w:val="single" w:sz="4" w:space="0" w:color="000000"/>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合计</w:t>
            </w: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center"/>
              <w:rPr>
                <w:rFonts w:ascii="宋体" w:hAnsi="宋体"/>
                <w:b/>
                <w:bCs/>
                <w:kern w:val="0"/>
                <w:sz w:val="20"/>
                <w:szCs w:val="20"/>
              </w:rPr>
            </w:pPr>
            <w:r>
              <w:rPr>
                <w:rFonts w:hint="eastAsia"/>
                <w:kern w:val="0"/>
                <w:sz w:val="20"/>
                <w:szCs w:val="20"/>
              </w:rPr>
              <w:t>609.6</w:t>
            </w:r>
            <w:r>
              <w:rPr>
                <w:rFonts w:ascii="宋体" w:hAnsi="宋体" w:hint="eastAsia"/>
                <w:b/>
                <w:bCs/>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center"/>
              <w:rPr>
                <w:rFonts w:ascii="宋体" w:hAnsi="宋体"/>
                <w:b/>
                <w:bCs/>
                <w:kern w:val="0"/>
                <w:sz w:val="20"/>
                <w:szCs w:val="20"/>
              </w:rPr>
            </w:pPr>
            <w:r>
              <w:rPr>
                <w:rFonts w:hint="eastAsia"/>
                <w:kern w:val="0"/>
                <w:sz w:val="20"/>
                <w:szCs w:val="20"/>
              </w:rPr>
              <w:t>443.6</w:t>
            </w:r>
            <w:r>
              <w:rPr>
                <w:rFonts w:ascii="宋体" w:hAnsi="宋体" w:hint="eastAsia"/>
                <w:b/>
                <w:bCs/>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center"/>
              <w:rPr>
                <w:rFonts w:ascii="宋体" w:hAnsi="宋体"/>
                <w:b/>
                <w:bCs/>
                <w:kern w:val="0"/>
                <w:sz w:val="20"/>
                <w:szCs w:val="20"/>
              </w:rPr>
            </w:pPr>
            <w:r>
              <w:rPr>
                <w:rFonts w:hint="eastAsia"/>
                <w:kern w:val="0"/>
                <w:sz w:val="20"/>
                <w:szCs w:val="20"/>
              </w:rPr>
              <w:t>166</w:t>
            </w:r>
            <w:r>
              <w:rPr>
                <w:rFonts w:ascii="宋体" w:hAnsi="宋体" w:hint="eastAsia"/>
                <w:b/>
                <w:bCs/>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center"/>
              <w:rPr>
                <w:rFonts w:ascii="宋体" w:hAnsi="宋体"/>
                <w:b/>
                <w:bCs/>
                <w:kern w:val="0"/>
                <w:sz w:val="20"/>
                <w:szCs w:val="20"/>
              </w:rPr>
            </w:pPr>
            <w:r>
              <w:rPr>
                <w:rFonts w:ascii="宋体" w:hAnsi="宋体" w:hint="eastAsia"/>
                <w:b/>
                <w:bCs/>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r>
              <w:rPr>
                <w:kern w:val="0"/>
                <w:sz w:val="20"/>
                <w:szCs w:val="20"/>
              </w:rPr>
              <w:t>201</w:t>
            </w: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rFonts w:ascii="宋体" w:hAnsi="宋体"/>
                <w:kern w:val="0"/>
                <w:sz w:val="20"/>
                <w:szCs w:val="20"/>
              </w:rPr>
            </w:pPr>
            <w:r>
              <w:rPr>
                <w:rFonts w:ascii="宋体" w:hAnsi="宋体" w:hint="eastAsia"/>
                <w:kern w:val="0"/>
                <w:sz w:val="20"/>
                <w:szCs w:val="20"/>
              </w:rPr>
              <w:t>一般公共服务</w:t>
            </w: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r>
              <w:rPr>
                <w:rFonts w:hint="eastAsia"/>
                <w:kern w:val="0"/>
                <w:sz w:val="20"/>
                <w:szCs w:val="20"/>
              </w:rPr>
              <w:t>609.6</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r>
              <w:rPr>
                <w:rFonts w:hint="eastAsia"/>
                <w:kern w:val="0"/>
                <w:sz w:val="20"/>
                <w:szCs w:val="20"/>
              </w:rPr>
              <w:t>443.6</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r>
              <w:rPr>
                <w:rFonts w:hint="eastAsia"/>
                <w:kern w:val="0"/>
                <w:sz w:val="20"/>
                <w:szCs w:val="20"/>
              </w:rPr>
              <w:t>166</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rFonts w:ascii="宋体" w:hAnsi="宋体"/>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hRule="exact" w:val="680"/>
        </w:trPr>
        <w:tc>
          <w:tcPr>
            <w:tcW w:w="961" w:type="dxa"/>
            <w:tcBorders>
              <w:top w:val="nil"/>
              <w:left w:val="single" w:sz="4" w:space="0" w:color="auto"/>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96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2496" w:type="dxa"/>
            <w:tcBorders>
              <w:top w:val="nil"/>
              <w:left w:val="nil"/>
              <w:bottom w:val="single" w:sz="4" w:space="0" w:color="auto"/>
              <w:right w:val="single" w:sz="4" w:space="0" w:color="auto"/>
            </w:tcBorders>
            <w:vAlign w:val="center"/>
          </w:tcPr>
          <w:p w:rsidR="00DC4FA2" w:rsidRDefault="00DC4FA2" w:rsidP="008F54E4">
            <w:pPr>
              <w:widowControl/>
              <w:jc w:val="left"/>
              <w:rPr>
                <w:rFonts w:ascii="宋体" w:hAnsi="宋体"/>
                <w:kern w:val="0"/>
                <w:sz w:val="20"/>
                <w:szCs w:val="20"/>
              </w:rPr>
            </w:pPr>
            <w:r>
              <w:rPr>
                <w:rFonts w:ascii="宋体" w:hAnsi="宋体" w:hint="eastAsia"/>
                <w:kern w:val="0"/>
                <w:sz w:val="20"/>
                <w:szCs w:val="20"/>
              </w:rPr>
              <w:t xml:space="preserve">　</w:t>
            </w:r>
          </w:p>
        </w:tc>
        <w:tc>
          <w:tcPr>
            <w:tcW w:w="830"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147"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c>
          <w:tcPr>
            <w:tcW w:w="1651" w:type="dxa"/>
            <w:tcBorders>
              <w:top w:val="nil"/>
              <w:left w:val="nil"/>
              <w:bottom w:val="single" w:sz="4" w:space="0" w:color="auto"/>
              <w:right w:val="single" w:sz="4" w:space="0" w:color="auto"/>
            </w:tcBorders>
            <w:vAlign w:val="center"/>
          </w:tcPr>
          <w:p w:rsidR="00DC4FA2" w:rsidRDefault="00DC4FA2" w:rsidP="008F54E4">
            <w:pPr>
              <w:widowControl/>
              <w:jc w:val="left"/>
              <w:rPr>
                <w:kern w:val="0"/>
                <w:sz w:val="20"/>
                <w:szCs w:val="20"/>
              </w:rPr>
            </w:pPr>
            <w:r>
              <w:rPr>
                <w:rFonts w:hint="eastAsia"/>
                <w:kern w:val="0"/>
                <w:sz w:val="20"/>
                <w:szCs w:val="20"/>
              </w:rPr>
              <w:t xml:space="preserve">　</w:t>
            </w:r>
          </w:p>
        </w:tc>
      </w:tr>
      <w:tr w:rsidR="00DC4FA2" w:rsidTr="008F54E4">
        <w:trPr>
          <w:trHeight w:val="255"/>
        </w:trPr>
        <w:tc>
          <w:tcPr>
            <w:tcW w:w="961" w:type="dxa"/>
            <w:vAlign w:val="center"/>
          </w:tcPr>
          <w:p w:rsidR="00DC4FA2" w:rsidRDefault="00DC4FA2" w:rsidP="008F54E4">
            <w:pPr>
              <w:widowControl/>
              <w:jc w:val="left"/>
              <w:rPr>
                <w:rFonts w:ascii="宋体" w:hAnsi="宋体"/>
                <w:kern w:val="0"/>
                <w:sz w:val="20"/>
                <w:szCs w:val="20"/>
              </w:rPr>
            </w:pPr>
          </w:p>
        </w:tc>
        <w:tc>
          <w:tcPr>
            <w:tcW w:w="961" w:type="dxa"/>
            <w:vAlign w:val="center"/>
          </w:tcPr>
          <w:p w:rsidR="00DC4FA2" w:rsidRDefault="00DC4FA2" w:rsidP="008F54E4">
            <w:pPr>
              <w:widowControl/>
              <w:jc w:val="left"/>
              <w:rPr>
                <w:rFonts w:ascii="宋体" w:hAnsi="宋体"/>
                <w:kern w:val="0"/>
                <w:sz w:val="20"/>
                <w:szCs w:val="20"/>
              </w:rPr>
            </w:pPr>
          </w:p>
        </w:tc>
        <w:tc>
          <w:tcPr>
            <w:tcW w:w="2496" w:type="dxa"/>
            <w:vAlign w:val="center"/>
          </w:tcPr>
          <w:p w:rsidR="00DC4FA2" w:rsidRDefault="00DC4FA2" w:rsidP="008F54E4">
            <w:pPr>
              <w:widowControl/>
              <w:jc w:val="left"/>
              <w:rPr>
                <w:kern w:val="0"/>
                <w:sz w:val="20"/>
                <w:szCs w:val="20"/>
              </w:rPr>
            </w:pPr>
          </w:p>
        </w:tc>
        <w:tc>
          <w:tcPr>
            <w:tcW w:w="830" w:type="dxa"/>
            <w:vAlign w:val="center"/>
          </w:tcPr>
          <w:p w:rsidR="00DC4FA2" w:rsidRDefault="00DC4FA2" w:rsidP="008F54E4">
            <w:pPr>
              <w:widowControl/>
              <w:jc w:val="left"/>
              <w:rPr>
                <w:kern w:val="0"/>
                <w:sz w:val="20"/>
                <w:szCs w:val="20"/>
              </w:rPr>
            </w:pPr>
          </w:p>
        </w:tc>
        <w:tc>
          <w:tcPr>
            <w:tcW w:w="1147" w:type="dxa"/>
            <w:vAlign w:val="center"/>
          </w:tcPr>
          <w:p w:rsidR="00DC4FA2" w:rsidRDefault="00DC4FA2" w:rsidP="008F54E4">
            <w:pPr>
              <w:widowControl/>
              <w:jc w:val="left"/>
              <w:rPr>
                <w:kern w:val="0"/>
                <w:sz w:val="20"/>
                <w:szCs w:val="20"/>
              </w:rPr>
            </w:pPr>
          </w:p>
        </w:tc>
        <w:tc>
          <w:tcPr>
            <w:tcW w:w="1147" w:type="dxa"/>
            <w:vAlign w:val="center"/>
          </w:tcPr>
          <w:p w:rsidR="00DC4FA2" w:rsidRDefault="00DC4FA2" w:rsidP="008F54E4">
            <w:pPr>
              <w:widowControl/>
              <w:jc w:val="left"/>
              <w:rPr>
                <w:kern w:val="0"/>
                <w:sz w:val="20"/>
                <w:szCs w:val="20"/>
              </w:rPr>
            </w:pPr>
          </w:p>
        </w:tc>
        <w:tc>
          <w:tcPr>
            <w:tcW w:w="1651" w:type="dxa"/>
            <w:vAlign w:val="center"/>
          </w:tcPr>
          <w:p w:rsidR="00DC4FA2" w:rsidRDefault="00DC4FA2" w:rsidP="008F54E4">
            <w:pPr>
              <w:widowControl/>
              <w:jc w:val="left"/>
              <w:rPr>
                <w:kern w:val="0"/>
                <w:sz w:val="20"/>
                <w:szCs w:val="20"/>
              </w:rPr>
            </w:pPr>
          </w:p>
        </w:tc>
      </w:tr>
      <w:tr w:rsidR="00DC4FA2" w:rsidTr="008F54E4">
        <w:trPr>
          <w:trHeight w:val="255"/>
        </w:trPr>
        <w:tc>
          <w:tcPr>
            <w:tcW w:w="9193" w:type="dxa"/>
            <w:gridSpan w:val="7"/>
            <w:vAlign w:val="center"/>
          </w:tcPr>
          <w:p w:rsidR="00DC4FA2" w:rsidRDefault="00DC4FA2" w:rsidP="008F54E4">
            <w:pPr>
              <w:widowControl/>
              <w:ind w:left="900" w:hangingChars="450" w:hanging="900"/>
              <w:jc w:val="left"/>
              <w:rPr>
                <w:rFonts w:ascii="宋体" w:hAnsi="宋体"/>
                <w:kern w:val="0"/>
                <w:sz w:val="20"/>
                <w:szCs w:val="20"/>
              </w:rPr>
            </w:pPr>
            <w:r>
              <w:rPr>
                <w:rFonts w:ascii="宋体" w:hAnsi="宋体" w:hint="eastAsia"/>
                <w:kern w:val="0"/>
                <w:sz w:val="20"/>
                <w:szCs w:val="20"/>
              </w:rPr>
              <w:t>说明：1、本表反映公共财政预算拨款收入对应的支出，不包括政府性基金收入、专户管理资金收入等安排的支出。</w:t>
            </w:r>
          </w:p>
        </w:tc>
      </w:tr>
      <w:tr w:rsidR="00DC4FA2" w:rsidTr="008F54E4">
        <w:trPr>
          <w:trHeight w:val="255"/>
        </w:trPr>
        <w:tc>
          <w:tcPr>
            <w:tcW w:w="9193" w:type="dxa"/>
            <w:gridSpan w:val="7"/>
            <w:vAlign w:val="center"/>
          </w:tcPr>
          <w:p w:rsidR="00DC4FA2" w:rsidRDefault="00DC4FA2" w:rsidP="008F54E4">
            <w:pPr>
              <w:widowControl/>
              <w:ind w:left="900" w:hangingChars="450" w:hanging="900"/>
              <w:jc w:val="left"/>
              <w:rPr>
                <w:kern w:val="0"/>
                <w:sz w:val="20"/>
                <w:szCs w:val="20"/>
              </w:rPr>
            </w:pPr>
            <w:r>
              <w:rPr>
                <w:kern w:val="0"/>
                <w:sz w:val="20"/>
                <w:szCs w:val="20"/>
              </w:rPr>
              <w:t xml:space="preserve">      2</w:t>
            </w:r>
            <w:r>
              <w:rPr>
                <w:rFonts w:ascii="宋体" w:hAnsi="宋体" w:hint="eastAsia"/>
                <w:kern w:val="0"/>
                <w:sz w:val="20"/>
                <w:szCs w:val="20"/>
              </w:rPr>
              <w:t>、基本支出指行政事业单位为保障其机构正常运转、完成日常工作任务而编制的年度基本支出计划，包括工资福利性支出、对个人和家庭的补助支出、商品和服务支出中属于基本支出的部分。</w:t>
            </w:r>
          </w:p>
        </w:tc>
      </w:tr>
      <w:tr w:rsidR="00DC4FA2" w:rsidTr="008F54E4">
        <w:trPr>
          <w:trHeight w:val="255"/>
        </w:trPr>
        <w:tc>
          <w:tcPr>
            <w:tcW w:w="9193" w:type="dxa"/>
            <w:gridSpan w:val="7"/>
            <w:vAlign w:val="center"/>
          </w:tcPr>
          <w:p w:rsidR="00DC4FA2" w:rsidRDefault="00DC4FA2" w:rsidP="008F54E4">
            <w:pPr>
              <w:widowControl/>
              <w:ind w:left="900" w:hangingChars="450" w:hanging="900"/>
              <w:jc w:val="left"/>
              <w:rPr>
                <w:kern w:val="0"/>
                <w:sz w:val="20"/>
                <w:szCs w:val="20"/>
              </w:rPr>
            </w:pPr>
            <w:r>
              <w:rPr>
                <w:kern w:val="0"/>
                <w:sz w:val="20"/>
                <w:szCs w:val="20"/>
              </w:rPr>
              <w:t xml:space="preserve">      3</w:t>
            </w:r>
            <w:r>
              <w:rPr>
                <w:rFonts w:ascii="宋体" w:hAnsi="宋体" w:hint="eastAsia"/>
                <w:kern w:val="0"/>
                <w:sz w:val="20"/>
                <w:szCs w:val="20"/>
              </w:rPr>
              <w:t>、项目支出指行政事业单位为完成特定的行政工作任务或事业发展目标，在基本支出预算之外编制的年度项目支出计划。</w:t>
            </w:r>
          </w:p>
        </w:tc>
      </w:tr>
    </w:tbl>
    <w:p w:rsidR="00DC4FA2" w:rsidRDefault="00DC4FA2" w:rsidP="00DC4FA2">
      <w:pPr>
        <w:spacing w:line="600" w:lineRule="exact"/>
        <w:jc w:val="left"/>
        <w:rPr>
          <w:rFonts w:eastAsia="仿宋_GB2312" w:hint="eastAsia"/>
          <w:bCs/>
          <w:sz w:val="32"/>
          <w:szCs w:val="32"/>
        </w:rPr>
      </w:pPr>
    </w:p>
    <w:p w:rsidR="00E8205F" w:rsidRDefault="00E8205F"/>
    <w:sectPr w:rsidR="00E8205F" w:rsidSect="00E820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FA2"/>
    <w:rsid w:val="00DC4FA2"/>
    <w:rsid w:val="00E82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2014-05-22T02:27:00Z</dcterms:created>
  <dcterms:modified xsi:type="dcterms:W3CDTF">2014-05-22T02:27:00Z</dcterms:modified>
</cp:coreProperties>
</file>