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68A4" w:rsidRDefault="002248ED">
      <w:pPr>
        <w:widowControl/>
        <w:shd w:val="clear" w:color="auto" w:fill="FFFFFF"/>
        <w:spacing w:before="300" w:line="450" w:lineRule="atLeast"/>
        <w:ind w:right="150"/>
        <w:outlineLvl w:val="0"/>
        <w:rPr>
          <w:rFonts w:ascii="微软雅黑" w:eastAsia="微软雅黑" w:hAnsi="微软雅黑" w:cs="宋体"/>
          <w:b/>
          <w:bCs/>
          <w:color w:val="0064BC"/>
          <w:kern w:val="36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bCs/>
          <w:color w:val="0064BC"/>
          <w:kern w:val="36"/>
          <w:sz w:val="44"/>
          <w:szCs w:val="44"/>
        </w:rPr>
        <w:t>贵州省地方海事（航务管理）局</w:t>
      </w:r>
      <w:r>
        <w:rPr>
          <w:rFonts w:ascii="微软雅黑" w:eastAsia="微软雅黑" w:hAnsi="微软雅黑" w:cs="宋体" w:hint="eastAsia"/>
          <w:b/>
          <w:bCs/>
          <w:color w:val="0064BC"/>
          <w:kern w:val="36"/>
          <w:sz w:val="44"/>
          <w:szCs w:val="44"/>
        </w:rPr>
        <w:t>2016</w:t>
      </w:r>
      <w:r>
        <w:rPr>
          <w:rFonts w:ascii="微软雅黑" w:eastAsia="微软雅黑" w:hAnsi="微软雅黑" w:cs="宋体" w:hint="eastAsia"/>
          <w:b/>
          <w:bCs/>
          <w:color w:val="0064BC"/>
          <w:kern w:val="36"/>
          <w:sz w:val="44"/>
          <w:szCs w:val="44"/>
        </w:rPr>
        <w:t>年部门预算和“三公经费”预算信息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center"/>
        <w:rPr>
          <w:rFonts w:ascii="仿宋" w:eastAsia="仿宋" w:hAnsi="仿宋" w:cs="仿宋"/>
          <w:color w:val="222222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222222"/>
          <w:kern w:val="0"/>
          <w:sz w:val="44"/>
          <w:szCs w:val="44"/>
        </w:rPr>
        <w:t>第一部分</w:t>
      </w:r>
      <w:r>
        <w:rPr>
          <w:rFonts w:ascii="仿宋" w:eastAsia="仿宋" w:hAnsi="仿宋" w:cs="仿宋" w:hint="eastAsia"/>
          <w:b/>
          <w:bCs/>
          <w:color w:val="222222"/>
          <w:kern w:val="0"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/>
          <w:bCs/>
          <w:color w:val="222222"/>
          <w:kern w:val="0"/>
          <w:sz w:val="44"/>
          <w:szCs w:val="44"/>
        </w:rPr>
        <w:t>贵州省地方海事局概况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一、部门概况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（一）部门主要职责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Style w:val="a6"/>
          <w:rFonts w:ascii="仿宋" w:eastAsia="仿宋" w:hAnsi="仿宋" w:cs="仿宋" w:hint="eastAsia"/>
          <w:b w:val="0"/>
          <w:sz w:val="32"/>
          <w:szCs w:val="32"/>
        </w:rPr>
        <w:t>贵州省地方海事局（贵州省航务管理局）机构职能介绍</w:t>
      </w:r>
      <w:r>
        <w:rPr>
          <w:rFonts w:hint="eastAsia"/>
        </w:rPr>
        <w:br/>
      </w:r>
      <w:r>
        <w:rPr>
          <w:rFonts w:hint="eastAsia"/>
        </w:rPr>
        <w:t xml:space="preserve">    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贯彻执行国家和省水路交通行业发展的有关法律、法规，依据法律法规规定和受省交通厅委托负责全省海事、水路运政、港口行政、航道行政及监督检查。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  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组织编制我省内河航道和港口中长期发展规划、年度基本建设计划并监督实施；拟定全省水运科技发展规划、技术标准和规范。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  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负责航运信息化建设和水路运输信息发布，做好水路交通行业统计和信息引导。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  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负责全省水路交通基础设施建设、维护、质量监督和水运工程造价管理；实施港口岸线、港口设施建设管理；组织实施我省国家和省重点水运工程建设项目。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  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负责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全省港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政、水路运政和航道行政管理。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  6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负责水上安全监督、海事调处、航行通告发布，承担船舶安全检查、船舶签证、船舶防污管理和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船舶载运危险货物监督管理。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 7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负责各类船舶法定登记、检验与发证、船用产品法定检验与发证。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 8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负责航道及其设施维护、航道通行信号指挥、航标维护、航道绞滩服务、过船建筑物航道维护等相关工作；承担航道清障、炸礁与航道整治以及航道观测工作。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 9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协调、指导水运行业体制改革；维护港口经营秩序；维护水运行业的平等竞争秩序。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 10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组织开展船员培训、船员考试等工作；做好水运法律法规和相关政策的宣传教育，开展水运交流与合作；指导水运行业职工队伍建设和精神文明建设。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 11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承办省交通运输厅和交通运输部有关司局交办的其他事项。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二）部门预算单位构成（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个）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  1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参公单位</w:t>
      </w:r>
      <w:proofErr w:type="gramEnd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个）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　　贵州省地方海事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（航务管理）局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、事业单位（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个）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贵州省赤水河航道管理局、贵州省乌江航道管理局（贵州省乌江通航管理局）、贵州省南北盘江红水河航道管理局。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（三）部门人员构成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lastRenderedPageBreak/>
        <w:t xml:space="preserve">　　截止目前，系统共有单位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个，核定编制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 810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人，实有在编在岗人员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470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人。其中：</w:t>
      </w:r>
      <w:proofErr w:type="gramStart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参公单位</w:t>
      </w:r>
      <w:proofErr w:type="gramEnd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个，核定编制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 87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人，实有在编在岗人员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 64 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人；局属事业单位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3 </w:t>
      </w:r>
      <w:proofErr w:type="gramStart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，核定编制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723 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名，实有在编在岗人员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406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人。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　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center"/>
        <w:rPr>
          <w:rFonts w:ascii="仿宋" w:eastAsia="仿宋" w:hAnsi="仿宋" w:cs="仿宋"/>
          <w:b/>
          <w:color w:val="222222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222222"/>
          <w:kern w:val="0"/>
          <w:sz w:val="44"/>
          <w:szCs w:val="44"/>
        </w:rPr>
        <w:t>第二部分</w:t>
      </w:r>
      <w:r>
        <w:rPr>
          <w:rFonts w:ascii="仿宋" w:eastAsia="仿宋" w:hAnsi="仿宋" w:cs="仿宋" w:hint="eastAsia"/>
          <w:b/>
          <w:bCs/>
          <w:color w:val="222222"/>
          <w:kern w:val="0"/>
          <w:sz w:val="44"/>
          <w:szCs w:val="44"/>
        </w:rPr>
        <w:t xml:space="preserve"> 2016</w:t>
      </w:r>
      <w:r>
        <w:rPr>
          <w:rFonts w:ascii="仿宋" w:eastAsia="仿宋" w:hAnsi="仿宋" w:cs="仿宋" w:hint="eastAsia"/>
          <w:b/>
          <w:bCs/>
          <w:color w:val="222222"/>
          <w:kern w:val="0"/>
          <w:sz w:val="44"/>
          <w:szCs w:val="44"/>
        </w:rPr>
        <w:t>年部门预算情况说明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　　一、收支预算总体情况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2016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年收入预算总额为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7153.18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万元，其中：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一般公共预算拨款收入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6936.18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万元、专户管理的非税收入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217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万元。相应安排支出预算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7153.18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万元，其中：交通运输支出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6765.96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万元、住房保障支出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387.22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万元。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ind w:firstLine="640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二、收入预算情况说明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、支出预算安排总体情况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2016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年收入预算总额为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7153.18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万元，其中：原口径一般公共预算拨款收入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6936.18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万元，占预算总收入的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96.97%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；原预算外转一般公共预算管理非税收入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217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万元，占预算总收入的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3.03%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。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、支出预算安排具体情况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lastRenderedPageBreak/>
        <w:t xml:space="preserve">　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）一般公共预算支出安排具体情况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2016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年一般公共预算支出总额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6936.18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万元，占总支出的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96.97%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，主要安排在以下方面：基本支出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6619.18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万元，占一般公共预算支出总额的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95.43%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；项目支出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317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元，占一般公共预算支出总额的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4.57%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，其中：原口径一般公共预算安排项目支出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317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万元，主要安排用于海事事务管理经费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.00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万元、内河航道应急抢通及养护经费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110.00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万元。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　　（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2015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年专户管理的非税收</w:t>
      </w:r>
      <w:proofErr w:type="gramStart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入安排</w:t>
      </w:r>
      <w:proofErr w:type="gramEnd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支出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217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万元，用于弥补乌江项目资金缺口，占总支出的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3.03%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。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三、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“三公经费”预算情况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2016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公务接待费预算安排为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31.96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，主要用于水上建设项目规划、设计、评审、报批等前期工作所涉及的接待工作；水运三年会战相关工作接待，课题技术咨询、交流、论证等涉及的接待工作；省外相关部门来黔交流学习、专题研讨、检查指导等涉及的接待工作等。</w:t>
      </w: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2016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年公务用车运行维护费预算安排为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 76.89 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万元，根据单位实际工作需要，按照公车改革后的实有车辆数测算。主要用于水运通道规划和建设、水运三年会战等工作所发生的公务用车燃料费、维修费、过路过桥费、保险费等支出。</w:t>
      </w:r>
    </w:p>
    <w:p w:rsidR="002248ED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lastRenderedPageBreak/>
        <w:t xml:space="preserve">　 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由于我省对因公出国（境）、公务用车购置实行总额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控制，年初并未细分到我局，目前这两项经费预算暂无数据。</w:t>
      </w:r>
    </w:p>
    <w:p w:rsidR="004F68A4" w:rsidRDefault="002248ED" w:rsidP="002248ED">
      <w:pPr>
        <w:widowControl/>
        <w:shd w:val="clear" w:color="auto" w:fill="FFFFFF"/>
        <w:wordWrap w:val="0"/>
        <w:spacing w:line="327" w:lineRule="atLeast"/>
        <w:ind w:firstLineChars="150" w:firstLine="480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我局本级“三公”经费数据与预算系统相符，但直属事业单位的公用经费，是财政直接全部下到其他商品和福利支出科目中，系统无法填报明细。为体现预算公开真实性，一般公共预算基本支出表中商品和服务支出下各项（含其他资本性支出）明细支出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,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由各直属事业单位按财政厅下达公用经费总额，根据实际工作需要分配填报。</w:t>
      </w:r>
    </w:p>
    <w:p w:rsidR="004F68A4" w:rsidRDefault="004F68A4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</w:p>
    <w:p w:rsidR="004F68A4" w:rsidRDefault="004F68A4" w:rsidP="002248ED">
      <w:pPr>
        <w:widowControl/>
        <w:shd w:val="clear" w:color="auto" w:fill="FFFFFF"/>
        <w:wordWrap w:val="0"/>
        <w:spacing w:line="327" w:lineRule="atLeast"/>
        <w:rPr>
          <w:rFonts w:ascii="仿宋" w:eastAsia="仿宋" w:hAnsi="仿宋" w:cs="仿宋"/>
          <w:b/>
          <w:bCs/>
          <w:color w:val="222222"/>
          <w:kern w:val="0"/>
          <w:sz w:val="32"/>
          <w:szCs w:val="32"/>
        </w:rPr>
      </w:pPr>
    </w:p>
    <w:p w:rsidR="004F68A4" w:rsidRDefault="004F68A4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</w:p>
    <w:p w:rsidR="004F68A4" w:rsidRDefault="002248ED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 xml:space="preserve">　</w:t>
      </w:r>
    </w:p>
    <w:p w:rsidR="004F68A4" w:rsidRDefault="004F68A4">
      <w:pPr>
        <w:widowControl/>
        <w:shd w:val="clear" w:color="auto" w:fill="FFFFFF"/>
        <w:wordWrap w:val="0"/>
        <w:spacing w:line="327" w:lineRule="atLeast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</w:p>
    <w:p w:rsidR="004F68A4" w:rsidRDefault="004F68A4">
      <w:pPr>
        <w:widowControl/>
        <w:shd w:val="clear" w:color="auto" w:fill="FFFFFF"/>
        <w:wordWrap w:val="0"/>
        <w:spacing w:line="327" w:lineRule="atLeast"/>
        <w:jc w:val="center"/>
        <w:rPr>
          <w:rFonts w:ascii="仿宋" w:eastAsia="仿宋" w:hAnsi="仿宋" w:cs="仿宋"/>
          <w:b/>
          <w:bCs/>
          <w:color w:val="222222"/>
          <w:kern w:val="0"/>
          <w:sz w:val="32"/>
          <w:szCs w:val="32"/>
        </w:rPr>
      </w:pPr>
    </w:p>
    <w:p w:rsidR="004F68A4" w:rsidRDefault="004F68A4">
      <w:pPr>
        <w:widowControl/>
        <w:shd w:val="clear" w:color="auto" w:fill="FFFFFF"/>
        <w:wordWrap w:val="0"/>
        <w:spacing w:line="327" w:lineRule="atLeast"/>
        <w:jc w:val="center"/>
        <w:rPr>
          <w:rFonts w:ascii="仿宋" w:eastAsia="仿宋" w:hAnsi="仿宋" w:cs="仿宋"/>
          <w:b/>
          <w:bCs/>
          <w:color w:val="222222"/>
          <w:kern w:val="0"/>
          <w:sz w:val="32"/>
          <w:szCs w:val="32"/>
        </w:rPr>
      </w:pPr>
    </w:p>
    <w:p w:rsidR="004F68A4" w:rsidRDefault="004F68A4">
      <w:pPr>
        <w:widowControl/>
        <w:shd w:val="clear" w:color="auto" w:fill="FFFFFF"/>
        <w:wordWrap w:val="0"/>
        <w:spacing w:line="327" w:lineRule="atLeast"/>
        <w:jc w:val="center"/>
        <w:rPr>
          <w:rFonts w:ascii="仿宋" w:eastAsia="仿宋" w:hAnsi="仿宋" w:cs="仿宋"/>
          <w:b/>
          <w:bCs/>
          <w:color w:val="222222"/>
          <w:kern w:val="0"/>
          <w:szCs w:val="21"/>
        </w:rPr>
      </w:pPr>
    </w:p>
    <w:p w:rsidR="004F68A4" w:rsidRDefault="004F68A4">
      <w:pPr>
        <w:widowControl/>
        <w:shd w:val="clear" w:color="auto" w:fill="FFFFFF"/>
        <w:wordWrap w:val="0"/>
        <w:spacing w:line="327" w:lineRule="atLeast"/>
        <w:jc w:val="center"/>
        <w:rPr>
          <w:rFonts w:ascii="宋体" w:eastAsia="宋体" w:hAnsi="宋体" w:cs="宋体"/>
          <w:b/>
          <w:bCs/>
          <w:color w:val="222222"/>
          <w:kern w:val="0"/>
          <w:szCs w:val="21"/>
        </w:rPr>
      </w:pPr>
    </w:p>
    <w:p w:rsidR="004F68A4" w:rsidRDefault="004F68A4">
      <w:pPr>
        <w:widowControl/>
        <w:shd w:val="clear" w:color="auto" w:fill="FFFFFF"/>
        <w:wordWrap w:val="0"/>
        <w:spacing w:line="327" w:lineRule="atLeast"/>
        <w:jc w:val="center"/>
        <w:rPr>
          <w:rFonts w:ascii="宋体" w:eastAsia="宋体" w:hAnsi="宋体" w:cs="宋体"/>
          <w:b/>
          <w:bCs/>
          <w:color w:val="222222"/>
          <w:kern w:val="0"/>
          <w:szCs w:val="21"/>
        </w:rPr>
      </w:pPr>
    </w:p>
    <w:p w:rsidR="004F68A4" w:rsidRDefault="004F68A4">
      <w:pPr>
        <w:widowControl/>
        <w:shd w:val="clear" w:color="auto" w:fill="FFFFFF"/>
        <w:wordWrap w:val="0"/>
        <w:spacing w:line="327" w:lineRule="atLeast"/>
        <w:jc w:val="center"/>
        <w:rPr>
          <w:rFonts w:ascii="宋体" w:eastAsia="宋体" w:hAnsi="宋体" w:cs="宋体"/>
          <w:b/>
          <w:bCs/>
          <w:color w:val="222222"/>
          <w:kern w:val="0"/>
          <w:szCs w:val="21"/>
        </w:rPr>
      </w:pPr>
    </w:p>
    <w:p w:rsidR="004F68A4" w:rsidRDefault="004F68A4">
      <w:pPr>
        <w:widowControl/>
        <w:shd w:val="clear" w:color="auto" w:fill="FFFFFF"/>
        <w:wordWrap w:val="0"/>
        <w:spacing w:line="327" w:lineRule="atLeast"/>
        <w:jc w:val="center"/>
        <w:rPr>
          <w:rFonts w:ascii="宋体" w:eastAsia="宋体" w:hAnsi="宋体" w:cs="宋体"/>
          <w:b/>
          <w:bCs/>
          <w:color w:val="222222"/>
          <w:kern w:val="0"/>
          <w:szCs w:val="21"/>
        </w:rPr>
      </w:pPr>
    </w:p>
    <w:p w:rsidR="004F68A4" w:rsidRDefault="002248ED">
      <w:pPr>
        <w:widowControl/>
        <w:shd w:val="clear" w:color="auto" w:fill="FFFFFF"/>
        <w:wordWrap w:val="0"/>
        <w:spacing w:line="327" w:lineRule="atLeast"/>
        <w:jc w:val="center"/>
        <w:rPr>
          <w:rFonts w:ascii="宋体" w:eastAsia="宋体" w:hAnsi="宋体" w:cs="宋体"/>
          <w:b/>
          <w:bCs/>
          <w:color w:val="222222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44"/>
          <w:szCs w:val="44"/>
        </w:rPr>
        <w:t>第三部分</w:t>
      </w:r>
      <w:r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44"/>
          <w:szCs w:val="44"/>
        </w:rPr>
        <w:t xml:space="preserve"> 2016</w:t>
      </w:r>
      <w:r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44"/>
          <w:szCs w:val="44"/>
        </w:rPr>
        <w:t>年部门预算</w:t>
      </w:r>
      <w:r>
        <w:rPr>
          <w:rFonts w:ascii="宋体" w:eastAsia="宋体" w:hAnsi="宋体" w:cs="宋体"/>
          <w:b/>
          <w:bCs/>
          <w:noProof/>
          <w:color w:val="222222"/>
          <w:kern w:val="0"/>
          <w:sz w:val="28"/>
          <w:szCs w:val="28"/>
        </w:rPr>
        <w:drawing>
          <wp:inline distT="0" distB="0" distL="0" distR="0">
            <wp:extent cx="9144000" cy="50958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A4" w:rsidRDefault="004F68A4">
      <w:pPr>
        <w:widowControl/>
        <w:shd w:val="clear" w:color="auto" w:fill="FFFFFF"/>
        <w:wordWrap w:val="0"/>
        <w:spacing w:line="327" w:lineRule="atLeast"/>
        <w:rPr>
          <w:rFonts w:ascii="宋体" w:eastAsia="宋体" w:hAnsi="宋体" w:cs="宋体"/>
          <w:b/>
          <w:bCs/>
          <w:color w:val="222222"/>
          <w:kern w:val="0"/>
          <w:sz w:val="28"/>
          <w:szCs w:val="28"/>
        </w:rPr>
      </w:pPr>
    </w:p>
    <w:p w:rsidR="004F68A4" w:rsidRDefault="002248ED">
      <w:pPr>
        <w:widowControl/>
        <w:shd w:val="clear" w:color="auto" w:fill="FFFFFF"/>
        <w:wordWrap w:val="0"/>
        <w:spacing w:line="327" w:lineRule="atLeast"/>
        <w:ind w:firstLineChars="250" w:firstLine="703"/>
        <w:rPr>
          <w:rFonts w:ascii="宋体" w:eastAsia="宋体" w:hAnsi="宋体" w:cs="宋体"/>
          <w:b/>
          <w:bCs/>
          <w:color w:val="222222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noProof/>
          <w:color w:val="222222"/>
          <w:kern w:val="0"/>
          <w:sz w:val="28"/>
          <w:szCs w:val="28"/>
        </w:rPr>
        <w:drawing>
          <wp:inline distT="0" distB="0" distL="0" distR="0">
            <wp:extent cx="8667750" cy="48101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A4" w:rsidRDefault="004F68A4">
      <w:pPr>
        <w:widowControl/>
        <w:shd w:val="clear" w:color="auto" w:fill="FFFFFF"/>
        <w:wordWrap w:val="0"/>
        <w:spacing w:line="327" w:lineRule="atLeast"/>
        <w:rPr>
          <w:rFonts w:ascii="宋体" w:eastAsia="宋体" w:hAnsi="宋体" w:cs="宋体"/>
          <w:b/>
          <w:bCs/>
          <w:color w:val="222222"/>
          <w:kern w:val="0"/>
          <w:sz w:val="28"/>
          <w:szCs w:val="28"/>
        </w:rPr>
      </w:pPr>
    </w:p>
    <w:p w:rsidR="004F68A4" w:rsidRDefault="002248ED">
      <w:pPr>
        <w:widowControl/>
        <w:shd w:val="clear" w:color="auto" w:fill="FFFFFF"/>
        <w:wordWrap w:val="0"/>
        <w:spacing w:line="327" w:lineRule="atLeast"/>
        <w:ind w:firstLineChars="150" w:firstLine="422"/>
        <w:rPr>
          <w:rFonts w:ascii="宋体" w:eastAsia="宋体" w:hAnsi="宋体" w:cs="宋体"/>
          <w:b/>
          <w:bCs/>
          <w:color w:val="222222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 xml:space="preserve"> </w:t>
      </w:r>
    </w:p>
    <w:p w:rsidR="004F68A4" w:rsidRDefault="002248ED" w:rsidP="002248ED">
      <w:pPr>
        <w:widowControl/>
        <w:shd w:val="clear" w:color="auto" w:fill="FFFFFF"/>
        <w:wordWrap w:val="0"/>
        <w:spacing w:line="327" w:lineRule="atLeast"/>
        <w:ind w:firstLineChars="150" w:firstLine="315"/>
      </w:pPr>
      <w:r>
        <w:rPr>
          <w:rFonts w:hint="eastAsia"/>
        </w:rPr>
        <w:lastRenderedPageBreak/>
        <w:t xml:space="preserve">   </w:t>
      </w:r>
      <w:r>
        <w:rPr>
          <w:noProof/>
        </w:rPr>
        <w:drawing>
          <wp:inline distT="0" distB="0" distL="114300" distR="114300">
            <wp:extent cx="8382000" cy="6116320"/>
            <wp:effectExtent l="0" t="0" r="0" b="177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611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rFonts w:hint="eastAsia"/>
        </w:rPr>
        <w:lastRenderedPageBreak/>
        <w:t xml:space="preserve">      </w:t>
      </w:r>
      <w:r>
        <w:rPr>
          <w:noProof/>
        </w:rPr>
        <w:drawing>
          <wp:inline distT="0" distB="0" distL="114300" distR="114300">
            <wp:extent cx="8304530" cy="3866515"/>
            <wp:effectExtent l="0" t="0" r="127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04530" cy="386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4F68A4" w:rsidRDefault="004F68A4" w:rsidP="002248ED">
      <w:pPr>
        <w:widowControl/>
        <w:shd w:val="clear" w:color="auto" w:fill="FFFFFF"/>
        <w:wordWrap w:val="0"/>
        <w:spacing w:line="327" w:lineRule="atLeast"/>
        <w:ind w:firstLineChars="150" w:firstLine="315"/>
      </w:pPr>
    </w:p>
    <w:p w:rsidR="004F68A4" w:rsidRDefault="004F68A4" w:rsidP="002248ED">
      <w:pPr>
        <w:widowControl/>
        <w:shd w:val="clear" w:color="auto" w:fill="FFFFFF"/>
        <w:wordWrap w:val="0"/>
        <w:spacing w:line="327" w:lineRule="atLeast"/>
        <w:ind w:firstLineChars="150" w:firstLine="315"/>
      </w:pPr>
    </w:p>
    <w:p w:rsidR="004F68A4" w:rsidRDefault="004F68A4" w:rsidP="002248ED">
      <w:pPr>
        <w:widowControl/>
        <w:shd w:val="clear" w:color="auto" w:fill="FFFFFF"/>
        <w:wordWrap w:val="0"/>
        <w:spacing w:line="327" w:lineRule="atLeast"/>
        <w:ind w:firstLineChars="150" w:firstLine="315"/>
      </w:pPr>
    </w:p>
    <w:p w:rsidR="004F68A4" w:rsidRDefault="004F68A4" w:rsidP="002248ED">
      <w:pPr>
        <w:widowControl/>
        <w:shd w:val="clear" w:color="auto" w:fill="FFFFFF"/>
        <w:wordWrap w:val="0"/>
        <w:spacing w:line="327" w:lineRule="atLeast"/>
        <w:ind w:firstLineChars="150" w:firstLine="315"/>
      </w:pPr>
    </w:p>
    <w:p w:rsidR="004F68A4" w:rsidRDefault="004F68A4" w:rsidP="002248ED">
      <w:pPr>
        <w:widowControl/>
        <w:shd w:val="clear" w:color="auto" w:fill="FFFFFF"/>
        <w:wordWrap w:val="0"/>
        <w:spacing w:line="327" w:lineRule="atLeast"/>
        <w:ind w:firstLineChars="150" w:firstLine="315"/>
      </w:pPr>
    </w:p>
    <w:p w:rsidR="004F68A4" w:rsidRDefault="004F68A4" w:rsidP="002248ED">
      <w:pPr>
        <w:widowControl/>
        <w:shd w:val="clear" w:color="auto" w:fill="FFFFFF"/>
        <w:wordWrap w:val="0"/>
        <w:spacing w:line="327" w:lineRule="atLeast"/>
        <w:ind w:firstLineChars="150" w:firstLine="315"/>
      </w:pPr>
    </w:p>
    <w:p w:rsidR="004F68A4" w:rsidRDefault="002248ED">
      <w:pPr>
        <w:widowControl/>
        <w:shd w:val="clear" w:color="auto" w:fill="FFFFFF"/>
        <w:wordWrap w:val="0"/>
        <w:spacing w:line="327" w:lineRule="atLeast"/>
        <w:ind w:firstLineChars="150" w:firstLine="422"/>
      </w:pPr>
      <w:r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 xml:space="preserve"> </w:t>
      </w:r>
    </w:p>
    <w:p w:rsidR="004F68A4" w:rsidRDefault="004F68A4" w:rsidP="002248ED">
      <w:pPr>
        <w:widowControl/>
        <w:shd w:val="clear" w:color="auto" w:fill="FFFFFF"/>
        <w:wordWrap w:val="0"/>
        <w:spacing w:line="327" w:lineRule="atLeast"/>
        <w:ind w:firstLineChars="150" w:firstLine="315"/>
      </w:pPr>
    </w:p>
    <w:p w:rsidR="004F68A4" w:rsidRDefault="004F68A4" w:rsidP="002248ED">
      <w:pPr>
        <w:widowControl/>
        <w:shd w:val="clear" w:color="auto" w:fill="FFFFFF"/>
        <w:wordWrap w:val="0"/>
        <w:spacing w:line="327" w:lineRule="atLeast"/>
        <w:ind w:firstLineChars="150" w:firstLine="315"/>
      </w:pPr>
    </w:p>
    <w:p w:rsidR="004F68A4" w:rsidRDefault="004F68A4" w:rsidP="002248ED">
      <w:pPr>
        <w:widowControl/>
        <w:shd w:val="clear" w:color="auto" w:fill="FFFFFF"/>
        <w:wordWrap w:val="0"/>
        <w:spacing w:line="327" w:lineRule="atLeast"/>
        <w:ind w:firstLineChars="150" w:firstLine="315"/>
      </w:pPr>
    </w:p>
    <w:bookmarkStart w:id="0" w:name="_GoBack"/>
    <w:p w:rsidR="002248ED" w:rsidRPr="002248ED" w:rsidRDefault="002248ED" w:rsidP="002248ED">
      <w:pPr>
        <w:widowControl/>
        <w:jc w:val="left"/>
      </w:pPr>
      <w:r>
        <w:rPr>
          <w:rFonts w:ascii="宋体" w:eastAsia="宋体" w:hAnsi="宋体" w:cs="宋体"/>
          <w:kern w:val="0"/>
          <w:sz w:val="24"/>
          <w:szCs w:val="24"/>
          <w:lang w:bidi="ar"/>
        </w:rPr>
        <w:lastRenderedPageBreak/>
        <w:fldChar w:fldCharType="begin"/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instrText xml:space="preserve">INCLUDEPICTURE \d "D:\\Documents\\Tencent Files\\2507408772\\Image\\C2C\\D780X}HG_~M~%0Q95BS%1}3.png" \* MERGEFORMATINET </w:instrTex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 wp14:anchorId="6684532C" wp14:editId="7D77A3C2">
            <wp:extent cx="9439275" cy="5791200"/>
            <wp:effectExtent l="0" t="0" r="9525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3927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fldChar w:fldCharType="end"/>
      </w:r>
      <w:bookmarkEnd w:id="0"/>
    </w:p>
    <w:sectPr w:rsidR="002248ED" w:rsidRPr="002248E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charset w:val="86"/>
    <w:family w:val="roma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1220"/>
    <w:rsid w:val="0000033F"/>
    <w:rsid w:val="00155FAC"/>
    <w:rsid w:val="00200AF2"/>
    <w:rsid w:val="002248ED"/>
    <w:rsid w:val="00271220"/>
    <w:rsid w:val="002F4C14"/>
    <w:rsid w:val="00333405"/>
    <w:rsid w:val="003563D4"/>
    <w:rsid w:val="00373605"/>
    <w:rsid w:val="003B0B14"/>
    <w:rsid w:val="003E69C9"/>
    <w:rsid w:val="00457DB9"/>
    <w:rsid w:val="004A7798"/>
    <w:rsid w:val="004F68A4"/>
    <w:rsid w:val="00513639"/>
    <w:rsid w:val="00524E15"/>
    <w:rsid w:val="00531934"/>
    <w:rsid w:val="0056217E"/>
    <w:rsid w:val="005C3D1C"/>
    <w:rsid w:val="005F108B"/>
    <w:rsid w:val="00674BF8"/>
    <w:rsid w:val="006935CA"/>
    <w:rsid w:val="006E05A9"/>
    <w:rsid w:val="00721DF2"/>
    <w:rsid w:val="00757731"/>
    <w:rsid w:val="00815D1A"/>
    <w:rsid w:val="00864756"/>
    <w:rsid w:val="00876981"/>
    <w:rsid w:val="008930C1"/>
    <w:rsid w:val="00893810"/>
    <w:rsid w:val="00921703"/>
    <w:rsid w:val="009534B5"/>
    <w:rsid w:val="009B5548"/>
    <w:rsid w:val="009E16EA"/>
    <w:rsid w:val="00A0568A"/>
    <w:rsid w:val="00AA45C9"/>
    <w:rsid w:val="00B87633"/>
    <w:rsid w:val="00BD27A5"/>
    <w:rsid w:val="00CA3B06"/>
    <w:rsid w:val="00CD768A"/>
    <w:rsid w:val="00D10263"/>
    <w:rsid w:val="00DC2A3A"/>
    <w:rsid w:val="00E7232A"/>
    <w:rsid w:val="00E72815"/>
    <w:rsid w:val="00EA0132"/>
    <w:rsid w:val="00ED66C8"/>
    <w:rsid w:val="01BD3B77"/>
    <w:rsid w:val="01E1156B"/>
    <w:rsid w:val="02EA638E"/>
    <w:rsid w:val="044B704A"/>
    <w:rsid w:val="052237E3"/>
    <w:rsid w:val="05D74167"/>
    <w:rsid w:val="06094AA5"/>
    <w:rsid w:val="072C7576"/>
    <w:rsid w:val="08665808"/>
    <w:rsid w:val="09EE4264"/>
    <w:rsid w:val="0A3B1510"/>
    <w:rsid w:val="0C5378A3"/>
    <w:rsid w:val="0CCB0C22"/>
    <w:rsid w:val="10EC1ED9"/>
    <w:rsid w:val="11526397"/>
    <w:rsid w:val="122A772B"/>
    <w:rsid w:val="12730B0F"/>
    <w:rsid w:val="12B56827"/>
    <w:rsid w:val="13022F7C"/>
    <w:rsid w:val="13FE3C0C"/>
    <w:rsid w:val="140260DB"/>
    <w:rsid w:val="1A547049"/>
    <w:rsid w:val="1A6E35D9"/>
    <w:rsid w:val="1BC74EFA"/>
    <w:rsid w:val="1BF37A41"/>
    <w:rsid w:val="1C6B10B7"/>
    <w:rsid w:val="1E566F76"/>
    <w:rsid w:val="1E7835FD"/>
    <w:rsid w:val="1F9F6450"/>
    <w:rsid w:val="21234ED6"/>
    <w:rsid w:val="2127129F"/>
    <w:rsid w:val="23A95099"/>
    <w:rsid w:val="24815DF9"/>
    <w:rsid w:val="25023279"/>
    <w:rsid w:val="25DB4048"/>
    <w:rsid w:val="27841ED1"/>
    <w:rsid w:val="27927738"/>
    <w:rsid w:val="2893669D"/>
    <w:rsid w:val="291B0AF1"/>
    <w:rsid w:val="29AE7D58"/>
    <w:rsid w:val="29D51E36"/>
    <w:rsid w:val="2B842DEE"/>
    <w:rsid w:val="2C625997"/>
    <w:rsid w:val="2D6A6B5E"/>
    <w:rsid w:val="2E0E62AB"/>
    <w:rsid w:val="2F2123D8"/>
    <w:rsid w:val="30396CDF"/>
    <w:rsid w:val="30726141"/>
    <w:rsid w:val="30A22789"/>
    <w:rsid w:val="348832EF"/>
    <w:rsid w:val="3630058D"/>
    <w:rsid w:val="36934755"/>
    <w:rsid w:val="36C94DC1"/>
    <w:rsid w:val="36FE11B8"/>
    <w:rsid w:val="381D4E36"/>
    <w:rsid w:val="387B46B1"/>
    <w:rsid w:val="3A41638D"/>
    <w:rsid w:val="3BF06C5B"/>
    <w:rsid w:val="3C330D5C"/>
    <w:rsid w:val="3C481178"/>
    <w:rsid w:val="3C89276C"/>
    <w:rsid w:val="3DB44A80"/>
    <w:rsid w:val="3FD14232"/>
    <w:rsid w:val="400D6CFF"/>
    <w:rsid w:val="40313C01"/>
    <w:rsid w:val="421C7351"/>
    <w:rsid w:val="423D6F78"/>
    <w:rsid w:val="430305B2"/>
    <w:rsid w:val="441C6B00"/>
    <w:rsid w:val="446F1CB5"/>
    <w:rsid w:val="462B7D2E"/>
    <w:rsid w:val="46DE120F"/>
    <w:rsid w:val="47F93779"/>
    <w:rsid w:val="485354EE"/>
    <w:rsid w:val="4A0E2122"/>
    <w:rsid w:val="4AB571BC"/>
    <w:rsid w:val="4B030A75"/>
    <w:rsid w:val="4B356316"/>
    <w:rsid w:val="4C5D56F0"/>
    <w:rsid w:val="4CD40298"/>
    <w:rsid w:val="4D536E15"/>
    <w:rsid w:val="4F94482A"/>
    <w:rsid w:val="508822F7"/>
    <w:rsid w:val="51E81E43"/>
    <w:rsid w:val="51EE01F2"/>
    <w:rsid w:val="521E3148"/>
    <w:rsid w:val="5237375A"/>
    <w:rsid w:val="538C2A96"/>
    <w:rsid w:val="539C48CC"/>
    <w:rsid w:val="53A57505"/>
    <w:rsid w:val="53E45A93"/>
    <w:rsid w:val="565914F3"/>
    <w:rsid w:val="56A221E6"/>
    <w:rsid w:val="56F20AC7"/>
    <w:rsid w:val="575B6395"/>
    <w:rsid w:val="58885581"/>
    <w:rsid w:val="58B02568"/>
    <w:rsid w:val="59192658"/>
    <w:rsid w:val="5A9D7938"/>
    <w:rsid w:val="5B2E73A4"/>
    <w:rsid w:val="5C2B38FD"/>
    <w:rsid w:val="5D213EC9"/>
    <w:rsid w:val="5D742798"/>
    <w:rsid w:val="5E947151"/>
    <w:rsid w:val="5EFD16A9"/>
    <w:rsid w:val="5F7E10A8"/>
    <w:rsid w:val="5FA53D19"/>
    <w:rsid w:val="60142648"/>
    <w:rsid w:val="61637861"/>
    <w:rsid w:val="616A5531"/>
    <w:rsid w:val="616F7EA5"/>
    <w:rsid w:val="624F0B81"/>
    <w:rsid w:val="63384A56"/>
    <w:rsid w:val="64A249B8"/>
    <w:rsid w:val="652E4105"/>
    <w:rsid w:val="663C04F3"/>
    <w:rsid w:val="667A239B"/>
    <w:rsid w:val="669E07BF"/>
    <w:rsid w:val="674A4266"/>
    <w:rsid w:val="67A17A1E"/>
    <w:rsid w:val="67A512BC"/>
    <w:rsid w:val="687701B8"/>
    <w:rsid w:val="69513520"/>
    <w:rsid w:val="6A176DFD"/>
    <w:rsid w:val="6B8D5235"/>
    <w:rsid w:val="70024F31"/>
    <w:rsid w:val="703D01A4"/>
    <w:rsid w:val="70F95FD3"/>
    <w:rsid w:val="7138329D"/>
    <w:rsid w:val="716E21DE"/>
    <w:rsid w:val="717A14D7"/>
    <w:rsid w:val="72EE1BA1"/>
    <w:rsid w:val="747A090D"/>
    <w:rsid w:val="75852C6A"/>
    <w:rsid w:val="75C17A90"/>
    <w:rsid w:val="760E5682"/>
    <w:rsid w:val="77C00ACD"/>
    <w:rsid w:val="787905E7"/>
    <w:rsid w:val="78D06015"/>
    <w:rsid w:val="7AD2790A"/>
    <w:rsid w:val="7C7F5A04"/>
    <w:rsid w:val="7E2628BD"/>
    <w:rsid w:val="7E557D03"/>
    <w:rsid w:val="7F3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FollowedHyperlink"/>
    <w:basedOn w:val="a0"/>
    <w:uiPriority w:val="99"/>
    <w:unhideWhenUsed/>
    <w:qFormat/>
    <w:rPr>
      <w:color w:val="3E3E3E"/>
      <w:u w:val="none"/>
    </w:rPr>
  </w:style>
  <w:style w:type="character" w:styleId="a8">
    <w:name w:val="Hyperlink"/>
    <w:basedOn w:val="a0"/>
    <w:uiPriority w:val="99"/>
    <w:unhideWhenUsed/>
    <w:qFormat/>
    <w:rPr>
      <w:color w:val="3E3E3E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r">
    <w:name w:val="fr"/>
    <w:basedOn w:val="a0"/>
    <w:qFormat/>
  </w:style>
  <w:style w:type="character" w:customStyle="1" w:styleId="fr1">
    <w:name w:val="fr1"/>
    <w:basedOn w:val="a0"/>
    <w:qFormat/>
  </w:style>
  <w:style w:type="character" w:customStyle="1" w:styleId="fr2">
    <w:name w:val="fr2"/>
    <w:basedOn w:val="a0"/>
    <w:qFormat/>
  </w:style>
  <w:style w:type="character" w:customStyle="1" w:styleId="info">
    <w:name w:val="info"/>
    <w:basedOn w:val="a0"/>
    <w:qFormat/>
    <w:rPr>
      <w:color w:val="776955"/>
    </w:rPr>
  </w:style>
  <w:style w:type="character" w:customStyle="1" w:styleId="bdsmore">
    <w:name w:val="bds_more"/>
    <w:basedOn w:val="a0"/>
    <w:qFormat/>
  </w:style>
  <w:style w:type="character" w:customStyle="1" w:styleId="bdsmore1">
    <w:name w:val="bds_more1"/>
    <w:basedOn w:val="a0"/>
    <w:qFormat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singl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NUL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E53E3D-003A-41CC-A404-0F53F6F4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315</Words>
  <Characters>1800</Characters>
  <Application>Microsoft Office Word</Application>
  <DocSecurity>0</DocSecurity>
  <Lines>15</Lines>
  <Paragraphs>4</Paragraphs>
  <ScaleCrop>false</ScaleCrop>
  <Company>微软中国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푨༹5</dc:creator>
  <cp:lastModifiedBy>ꠐர쏀໩(</cp:lastModifiedBy>
  <cp:revision>24</cp:revision>
  <cp:lastPrinted>2016-05-23T10:13:00Z</cp:lastPrinted>
  <dcterms:created xsi:type="dcterms:W3CDTF">2016-02-18T04:39:00Z</dcterms:created>
  <dcterms:modified xsi:type="dcterms:W3CDTF">2016-05-24T02:08:00Z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