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val="0"/>
        <w:snapToGrid w:val="0"/>
        <w:spacing w:line="560" w:lineRule="exact"/>
        <w:ind w:firstLine="0" w:firstLineChars="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p>
    <w:p>
      <w:pPr>
        <w:keepNext w:val="0"/>
        <w:keepLines w:val="0"/>
        <w:pageBreakBefore w:val="0"/>
        <w:widowControl w:val="0"/>
        <w:kinsoku/>
        <w:wordWrap/>
        <w:overflowPunct/>
        <w:topLinePunct w:val="0"/>
        <w:autoSpaceDN/>
        <w:bidi w:val="0"/>
        <w:adjustRightInd w:val="0"/>
        <w:snapToGrid w:val="0"/>
        <w:spacing w:line="560" w:lineRule="exact"/>
        <w:ind w:firstLine="0" w:firstLineChars="0"/>
        <w:jc w:val="both"/>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公共机构节能减排项目专项资金补助申请报告</w:t>
      </w:r>
    </w:p>
    <w:p>
      <w:pPr>
        <w:keepNext w:val="0"/>
        <w:keepLines w:val="0"/>
        <w:pageBreakBefore w:val="0"/>
        <w:widowControl w:val="0"/>
        <w:kinsoku/>
        <w:wordWrap/>
        <w:overflowPunct/>
        <w:topLinePunct w:val="0"/>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w:t>
      </w:r>
      <w:r>
        <w:rPr>
          <w:rFonts w:hint="eastAsia" w:ascii="Times New Roman" w:hAnsi="Times New Roman" w:eastAsia="方正小标宋简体" w:cs="Times New Roman"/>
          <w:color w:val="auto"/>
          <w:sz w:val="44"/>
          <w:szCs w:val="44"/>
          <w:highlight w:val="none"/>
          <w:lang w:val="en-US" w:eastAsia="zh-CN"/>
        </w:rPr>
        <w:t>参考</w:t>
      </w:r>
      <w:r>
        <w:rPr>
          <w:rFonts w:hint="default" w:ascii="Times New Roman" w:hAnsi="Times New Roman" w:eastAsia="方正小标宋简体" w:cs="Times New Roman"/>
          <w:color w:val="auto"/>
          <w:sz w:val="44"/>
          <w:szCs w:val="44"/>
          <w:highlight w:val="none"/>
          <w:lang w:val="en-US" w:eastAsia="zh-CN"/>
        </w:rPr>
        <w:t>模板）</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kern w:val="0"/>
          <w:sz w:val="32"/>
          <w:szCs w:val="32"/>
          <w:lang w:val="en-US" w:eastAsia="zh-CN" w:bidi="ar"/>
        </w:rPr>
        <w:t>一、项目</w:t>
      </w:r>
      <w:r>
        <w:rPr>
          <w:rFonts w:hint="eastAsia" w:ascii="黑体" w:hAnsi="黑体" w:eastAsia="黑体" w:cs="黑体"/>
          <w:color w:val="auto"/>
          <w:sz w:val="32"/>
          <w:szCs w:val="32"/>
          <w:lang w:val="en-US" w:eastAsia="zh-CN"/>
        </w:rPr>
        <w:t>概述</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spacing w:val="0"/>
          <w:kern w:val="0"/>
          <w:sz w:val="32"/>
          <w:szCs w:val="32"/>
          <w:lang w:val="en-US" w:eastAsia="zh-CN" w:bidi="ar"/>
        </w:rPr>
      </w:pPr>
      <w:r>
        <w:rPr>
          <w:rFonts w:hint="eastAsia" w:ascii="楷体_GB2312" w:hAnsi="楷体_GB2312" w:eastAsia="楷体_GB2312" w:cs="楷体_GB2312"/>
          <w:b w:val="0"/>
          <w:bCs w:val="0"/>
          <w:color w:val="auto"/>
          <w:spacing w:val="0"/>
          <w:kern w:val="0"/>
          <w:sz w:val="32"/>
          <w:szCs w:val="32"/>
          <w:lang w:val="en-US" w:eastAsia="zh-CN" w:bidi="ar"/>
        </w:rPr>
        <w:t>（一）基本情况</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kern w:val="0"/>
          <w:sz w:val="32"/>
          <w:szCs w:val="32"/>
          <w:lang w:val="en-US" w:eastAsia="zh-CN" w:bidi="ar"/>
        </w:rPr>
        <w:t>简述申请单位基本情况、项目名称、项目所在地及项目负责人、联系电话等。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pacing w:val="0"/>
          <w:kern w:val="0"/>
          <w:sz w:val="32"/>
          <w:szCs w:val="32"/>
          <w:lang w:val="en-US" w:eastAsia="zh-CN" w:bidi="ar"/>
        </w:rPr>
        <w:t>（二）</w:t>
      </w:r>
      <w:r>
        <w:rPr>
          <w:rFonts w:hint="eastAsia" w:ascii="楷体_GB2312" w:hAnsi="楷体_GB2312" w:eastAsia="楷体_GB2312" w:cs="楷体_GB2312"/>
          <w:color w:val="auto"/>
          <w:sz w:val="32"/>
          <w:szCs w:val="32"/>
          <w:lang w:val="en-US" w:eastAsia="zh-CN"/>
        </w:rPr>
        <w:t>项目目标、规模、内容、建设期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kern w:val="0"/>
          <w:sz w:val="32"/>
          <w:szCs w:val="32"/>
          <w:lang w:val="en-US" w:eastAsia="zh-CN" w:bidi="ar"/>
        </w:rPr>
        <w:t>简述</w:t>
      </w:r>
      <w:r>
        <w:rPr>
          <w:rFonts w:hint="eastAsia" w:ascii="Times New Roman" w:hAnsi="Times New Roman" w:eastAsia="仿宋_GB2312" w:cs="Times New Roman"/>
          <w:b w:val="0"/>
          <w:bCs w:val="0"/>
          <w:color w:val="auto"/>
          <w:spacing w:val="0"/>
          <w:kern w:val="0"/>
          <w:sz w:val="32"/>
          <w:szCs w:val="32"/>
          <w:lang w:val="en-US" w:eastAsia="zh-CN" w:bidi="ar"/>
        </w:rPr>
        <w:t>项目</w:t>
      </w:r>
      <w:r>
        <w:rPr>
          <w:rFonts w:hint="default" w:ascii="Times New Roman" w:hAnsi="Times New Roman" w:eastAsia="仿宋_GB2312" w:cs="Times New Roman"/>
          <w:b w:val="0"/>
          <w:bCs w:val="0"/>
          <w:color w:val="auto"/>
          <w:spacing w:val="0"/>
          <w:kern w:val="0"/>
          <w:sz w:val="32"/>
          <w:szCs w:val="32"/>
          <w:lang w:val="en-US" w:eastAsia="zh-CN" w:bidi="ar"/>
        </w:rPr>
        <w:t>拟实现的节能降碳目标</w:t>
      </w:r>
      <w:r>
        <w:rPr>
          <w:rFonts w:hint="eastAsia" w:ascii="Times New Roman" w:hAnsi="Times New Roman" w:eastAsia="仿宋_GB2312" w:cs="Times New Roman"/>
          <w:b w:val="0"/>
          <w:bCs w:val="0"/>
          <w:color w:val="auto"/>
          <w:spacing w:val="0"/>
          <w:kern w:val="0"/>
          <w:sz w:val="32"/>
          <w:szCs w:val="32"/>
          <w:lang w:val="en-US" w:eastAsia="zh-CN" w:bidi="ar"/>
        </w:rPr>
        <w:t>、</w:t>
      </w:r>
      <w:r>
        <w:rPr>
          <w:rFonts w:hint="eastAsia" w:ascii="Times New Roman" w:hAnsi="Times New Roman" w:eastAsia="仿宋_GB2312" w:cs="Times New Roman"/>
          <w:color w:val="auto"/>
          <w:sz w:val="32"/>
          <w:szCs w:val="32"/>
          <w:lang w:val="en-US" w:eastAsia="zh-CN"/>
        </w:rPr>
        <w:t>规模范围（如</w:t>
      </w:r>
      <w:r>
        <w:rPr>
          <w:rFonts w:hint="default" w:ascii="Times New Roman" w:hAnsi="Times New Roman" w:eastAsia="仿宋_GB2312" w:cs="Times New Roman"/>
          <w:color w:val="auto"/>
          <w:sz w:val="32"/>
          <w:szCs w:val="32"/>
          <w:lang w:val="en-US" w:eastAsia="zh-CN"/>
        </w:rPr>
        <w:t>总建筑面积</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pacing w:val="0"/>
          <w:kern w:val="0"/>
          <w:sz w:val="32"/>
          <w:szCs w:val="32"/>
          <w:lang w:val="en-US" w:eastAsia="zh-CN" w:bidi="ar"/>
        </w:rPr>
        <w:t>、节能改造内容、</w:t>
      </w:r>
      <w:r>
        <w:rPr>
          <w:rFonts w:hint="eastAsia" w:ascii="Times New Roman" w:hAnsi="Times New Roman" w:eastAsia="仿宋_GB2312" w:cs="Times New Roman"/>
          <w:color w:val="auto"/>
          <w:sz w:val="32"/>
          <w:szCs w:val="32"/>
          <w:lang w:val="en-US" w:eastAsia="zh-CN"/>
        </w:rPr>
        <w:t>（建设）工期</w:t>
      </w:r>
      <w:r>
        <w:rPr>
          <w:rFonts w:hint="default" w:ascii="Times New Roman" w:hAnsi="Times New Roman" w:eastAsia="仿宋_GB2312" w:cs="Times New Roman"/>
          <w:b w:val="0"/>
          <w:bCs w:val="0"/>
          <w:color w:val="auto"/>
          <w:spacing w:val="0"/>
          <w:kern w:val="0"/>
          <w:sz w:val="32"/>
          <w:szCs w:val="32"/>
          <w:lang w:val="en-US" w:eastAsia="zh-CN" w:bidi="ar"/>
        </w:rPr>
        <w:t>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spacing w:val="0"/>
          <w:kern w:val="0"/>
          <w:sz w:val="32"/>
          <w:szCs w:val="32"/>
          <w:lang w:val="en-US" w:eastAsia="zh-CN" w:bidi="ar"/>
        </w:rPr>
      </w:pPr>
      <w:r>
        <w:rPr>
          <w:rFonts w:hint="eastAsia" w:ascii="楷体_GB2312" w:hAnsi="楷体_GB2312" w:eastAsia="楷体_GB2312" w:cs="楷体_GB2312"/>
          <w:b w:val="0"/>
          <w:bCs w:val="0"/>
          <w:color w:val="auto"/>
          <w:spacing w:val="0"/>
          <w:kern w:val="0"/>
          <w:sz w:val="32"/>
          <w:szCs w:val="32"/>
          <w:lang w:val="en-US" w:eastAsia="zh-CN" w:bidi="ar"/>
        </w:rPr>
        <w:t>（三）</w:t>
      </w:r>
      <w:r>
        <w:rPr>
          <w:rFonts w:hint="eastAsia" w:ascii="楷体_GB2312" w:hAnsi="楷体_GB2312" w:eastAsia="楷体_GB2312" w:cs="楷体_GB2312"/>
          <w:color w:val="auto"/>
          <w:sz w:val="32"/>
          <w:szCs w:val="32"/>
          <w:lang w:val="en-US" w:eastAsia="zh-CN"/>
        </w:rPr>
        <w:t>项目总投资及资金来源</w:t>
      </w:r>
      <w:r>
        <w:rPr>
          <w:rFonts w:hint="eastAsia" w:ascii="楷体_GB2312" w:hAnsi="楷体_GB2312" w:eastAsia="楷体_GB2312" w:cs="楷体_GB2312"/>
          <w:b w:val="0"/>
          <w:bCs w:val="0"/>
          <w:color w:val="auto"/>
          <w:spacing w:val="0"/>
          <w:kern w:val="0"/>
          <w:sz w:val="32"/>
          <w:szCs w:val="32"/>
          <w:lang w:val="en-US" w:eastAsia="zh-CN" w:bidi="ar"/>
        </w:rPr>
        <w:t>情况</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kern w:val="0"/>
          <w:sz w:val="32"/>
          <w:szCs w:val="32"/>
          <w:lang w:val="en-US" w:eastAsia="zh-CN" w:bidi="ar"/>
        </w:rPr>
        <w:t>项目预计总投资、资金来源及</w:t>
      </w:r>
      <w:r>
        <w:rPr>
          <w:rFonts w:hint="eastAsia" w:ascii="Times New Roman" w:hAnsi="Times New Roman" w:eastAsia="仿宋_GB2312" w:cs="Times New Roman"/>
          <w:color w:val="auto"/>
          <w:sz w:val="32"/>
          <w:szCs w:val="32"/>
          <w:lang w:val="en-US" w:eastAsia="zh-CN"/>
        </w:rPr>
        <w:t>配套</w:t>
      </w:r>
      <w:r>
        <w:rPr>
          <w:rFonts w:hint="default" w:ascii="Times New Roman" w:hAnsi="Times New Roman" w:eastAsia="仿宋_GB2312" w:cs="Times New Roman"/>
          <w:b w:val="0"/>
          <w:bCs w:val="0"/>
          <w:color w:val="auto"/>
          <w:spacing w:val="0"/>
          <w:kern w:val="0"/>
          <w:sz w:val="32"/>
          <w:szCs w:val="32"/>
          <w:lang w:val="en-US" w:eastAsia="zh-CN" w:bidi="ar"/>
        </w:rPr>
        <w:t>资金落实情况、拟申请补助资金额度等。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二、</w:t>
      </w:r>
      <w:r>
        <w:rPr>
          <w:rFonts w:hint="eastAsia" w:ascii="黑体" w:hAnsi="黑体" w:eastAsia="黑体" w:cs="黑体"/>
          <w:color w:val="auto"/>
          <w:sz w:val="32"/>
          <w:szCs w:val="32"/>
          <w:lang w:val="en-US" w:eastAsia="zh-CN"/>
        </w:rPr>
        <w:t>项目需求及必要性</w:t>
      </w:r>
      <w:r>
        <w:rPr>
          <w:rFonts w:hint="default" w:ascii="黑体" w:hAnsi="黑体" w:eastAsia="黑体" w:cs="黑体"/>
          <w:color w:val="auto"/>
          <w:sz w:val="32"/>
          <w:szCs w:val="32"/>
          <w:lang w:val="en-US" w:eastAsia="zh-CN"/>
        </w:rPr>
        <w:t>分析</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spacing w:val="0"/>
          <w:kern w:val="0"/>
          <w:sz w:val="32"/>
          <w:szCs w:val="32"/>
          <w:lang w:val="en-US" w:eastAsia="zh-CN" w:bidi="ar"/>
        </w:rPr>
      </w:pPr>
      <w:r>
        <w:rPr>
          <w:rFonts w:hint="eastAsia" w:ascii="楷体_GB2312" w:hAnsi="楷体_GB2312" w:eastAsia="楷体_GB2312" w:cs="楷体_GB2312"/>
          <w:b w:val="0"/>
          <w:bCs w:val="0"/>
          <w:color w:val="auto"/>
          <w:spacing w:val="0"/>
          <w:kern w:val="0"/>
          <w:sz w:val="32"/>
          <w:szCs w:val="32"/>
          <w:lang w:val="en-US" w:eastAsia="zh-CN" w:bidi="ar"/>
        </w:rPr>
        <w:t>（一）政策依据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kern w:val="0"/>
          <w:sz w:val="32"/>
          <w:szCs w:val="32"/>
          <w:lang w:val="en-US" w:eastAsia="zh-CN" w:bidi="ar"/>
        </w:rPr>
        <w:t>简述项目实施背景及安全、环保、节能等方面相关政策要求，其中，政策依据应列明依据文件名称及文号，并引述文件中的具体内容。例如：根据《</w:t>
      </w:r>
      <w:r>
        <w:rPr>
          <w:rFonts w:hint="eastAsia" w:ascii="Times New Roman" w:hAnsi="Times New Roman" w:eastAsia="仿宋_GB2312" w:cs="Times New Roman"/>
          <w:b w:val="0"/>
          <w:bCs w:val="0"/>
          <w:color w:val="auto"/>
          <w:spacing w:val="0"/>
          <w:kern w:val="0"/>
          <w:sz w:val="32"/>
          <w:szCs w:val="32"/>
          <w:lang w:val="en-US" w:eastAsia="zh-CN" w:bidi="ar"/>
        </w:rPr>
        <w:t>XXX</w:t>
      </w:r>
      <w:r>
        <w:rPr>
          <w:rFonts w:hint="default" w:ascii="Times New Roman" w:hAnsi="Times New Roman" w:eastAsia="仿宋_GB2312" w:cs="Times New Roman"/>
          <w:b w:val="0"/>
          <w:bCs w:val="0"/>
          <w:color w:val="auto"/>
          <w:spacing w:val="0"/>
          <w:kern w:val="0"/>
          <w:sz w:val="32"/>
          <w:szCs w:val="32"/>
          <w:lang w:val="en-US" w:eastAsia="zh-CN" w:bidi="ar"/>
        </w:rPr>
        <w:t>方案》（黔</w:t>
      </w:r>
      <w:r>
        <w:rPr>
          <w:rFonts w:hint="eastAsia" w:ascii="Times New Roman" w:hAnsi="Times New Roman" w:eastAsia="仿宋_GB2312" w:cs="Times New Roman"/>
          <w:b w:val="0"/>
          <w:bCs w:val="0"/>
          <w:color w:val="auto"/>
          <w:spacing w:val="0"/>
          <w:kern w:val="0"/>
          <w:sz w:val="32"/>
          <w:szCs w:val="32"/>
          <w:lang w:val="en-US" w:eastAsia="zh-CN" w:bidi="ar"/>
        </w:rPr>
        <w:t>XXX</w:t>
      </w:r>
      <w:r>
        <w:rPr>
          <w:rFonts w:hint="default" w:ascii="Times New Roman" w:hAnsi="Times New Roman" w:eastAsia="仿宋_GB2312" w:cs="Times New Roman"/>
          <w:b w:val="0"/>
          <w:bCs w:val="0"/>
          <w:color w:val="auto"/>
          <w:spacing w:val="0"/>
          <w:kern w:val="0"/>
          <w:sz w:val="32"/>
          <w:szCs w:val="32"/>
          <w:lang w:val="en-US" w:eastAsia="zh-CN" w:bidi="ar"/>
        </w:rPr>
        <w:t>号）中的第</w:t>
      </w:r>
      <w:r>
        <w:rPr>
          <w:rFonts w:hint="eastAsia" w:ascii="Times New Roman" w:hAnsi="Times New Roman" w:eastAsia="仿宋_GB2312" w:cs="Times New Roman"/>
          <w:b w:val="0"/>
          <w:bCs w:val="0"/>
          <w:color w:val="auto"/>
          <w:spacing w:val="0"/>
          <w:kern w:val="0"/>
          <w:sz w:val="32"/>
          <w:szCs w:val="32"/>
          <w:lang w:val="en-US" w:eastAsia="zh-CN" w:bidi="ar"/>
        </w:rPr>
        <w:t>XXX</w:t>
      </w:r>
      <w:r>
        <w:rPr>
          <w:rFonts w:hint="default" w:ascii="Times New Roman" w:hAnsi="Times New Roman" w:eastAsia="仿宋_GB2312" w:cs="Times New Roman"/>
          <w:b w:val="0"/>
          <w:bCs w:val="0"/>
          <w:color w:val="auto"/>
          <w:spacing w:val="0"/>
          <w:kern w:val="0"/>
          <w:sz w:val="32"/>
          <w:szCs w:val="32"/>
          <w:lang w:val="en-US" w:eastAsia="zh-CN" w:bidi="ar"/>
        </w:rPr>
        <w:t>点</w:t>
      </w:r>
      <w:r>
        <w:rPr>
          <w:rFonts w:hint="eastAsia" w:ascii="Times New Roman" w:hAnsi="Times New Roman" w:eastAsia="仿宋_GB2312" w:cs="Times New Roman"/>
          <w:b w:val="0"/>
          <w:bCs w:val="0"/>
          <w:color w:val="auto"/>
          <w:spacing w:val="0"/>
          <w:kern w:val="0"/>
          <w:sz w:val="32"/>
          <w:szCs w:val="32"/>
          <w:lang w:val="en-US" w:eastAsia="zh-CN" w:bidi="ar"/>
        </w:rPr>
        <w:t>XXX</w:t>
      </w:r>
      <w:r>
        <w:rPr>
          <w:rFonts w:hint="default" w:ascii="Times New Roman" w:hAnsi="Times New Roman" w:eastAsia="仿宋_GB2312" w:cs="Times New Roman"/>
          <w:b w:val="0"/>
          <w:bCs w:val="0"/>
          <w:color w:val="auto"/>
          <w:spacing w:val="0"/>
          <w:kern w:val="0"/>
          <w:sz w:val="32"/>
          <w:szCs w:val="32"/>
          <w:lang w:val="en-US" w:eastAsia="zh-CN" w:bidi="ar"/>
        </w:rPr>
        <w:t>内容要求（规定）。</w:t>
      </w:r>
    </w:p>
    <w:p>
      <w:pPr>
        <w:keepNext w:val="0"/>
        <w:keepLines w:val="0"/>
        <w:pageBreakBefore w:val="0"/>
        <w:widowControl w:val="0"/>
        <w:suppressLineNumbers w:val="0"/>
        <w:kinsoku/>
        <w:wordWrap/>
        <w:overflowPunct/>
        <w:topLinePunct w:val="0"/>
        <w:autoSpaceDN/>
        <w:bidi w:val="0"/>
        <w:adjustRightIn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color w:val="auto"/>
          <w:spacing w:val="0"/>
          <w:kern w:val="0"/>
          <w:sz w:val="32"/>
          <w:szCs w:val="32"/>
          <w:lang w:val="en-US" w:eastAsia="zh-CN" w:bidi="ar"/>
        </w:rPr>
      </w:pPr>
      <w:r>
        <w:rPr>
          <w:rFonts w:hint="eastAsia" w:ascii="楷体_GB2312" w:hAnsi="楷体_GB2312" w:eastAsia="楷体_GB2312" w:cs="楷体_GB2312"/>
          <w:b w:val="0"/>
          <w:bCs w:val="0"/>
          <w:color w:val="auto"/>
          <w:spacing w:val="0"/>
          <w:kern w:val="0"/>
          <w:sz w:val="32"/>
          <w:szCs w:val="32"/>
          <w:lang w:val="en-US" w:eastAsia="zh-CN" w:bidi="ar"/>
        </w:rPr>
        <w:t>（二）</w:t>
      </w:r>
      <w:r>
        <w:rPr>
          <w:rFonts w:hint="eastAsia" w:ascii="楷体_GB2312" w:hAnsi="楷体_GB2312" w:eastAsia="楷体_GB2312" w:cs="楷体_GB2312"/>
          <w:color w:val="auto"/>
          <w:sz w:val="32"/>
          <w:szCs w:val="32"/>
          <w:lang w:val="en-US" w:eastAsia="zh-CN"/>
        </w:rPr>
        <w:t>单位节能工作现状及改造需求</w:t>
      </w:r>
    </w:p>
    <w:p>
      <w:pPr>
        <w:keepNext w:val="0"/>
        <w:keepLines w:val="0"/>
        <w:pageBreakBefore w:val="0"/>
        <w:widowControl w:val="0"/>
        <w:suppressLineNumbers w:val="0"/>
        <w:kinsoku/>
        <w:wordWrap/>
        <w:overflowPunct/>
        <w:topLinePunct w:val="0"/>
        <w:autoSpaceDN/>
        <w:bidi w:val="0"/>
        <w:adjustRightIn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kern w:val="0"/>
          <w:sz w:val="32"/>
          <w:szCs w:val="32"/>
          <w:lang w:val="en-US" w:eastAsia="zh-CN" w:bidi="ar"/>
        </w:rPr>
        <w:t>简述目前本单位节能工作开展情况、节能设施现状、最近一次节能设施改造时间、现有节能设施存在缺陷和损坏情况</w:t>
      </w:r>
      <w:r>
        <w:rPr>
          <w:rFonts w:hint="eastAsia" w:ascii="Times New Roman" w:hAnsi="Times New Roman" w:eastAsia="仿宋_GB2312" w:cs="Times New Roman"/>
          <w:color w:val="auto"/>
          <w:sz w:val="32"/>
          <w:szCs w:val="32"/>
          <w:lang w:val="en-US" w:eastAsia="zh-CN"/>
        </w:rPr>
        <w:t>、改造需求</w:t>
      </w:r>
      <w:r>
        <w:rPr>
          <w:rFonts w:hint="default" w:ascii="Times New Roman" w:hAnsi="Times New Roman" w:eastAsia="仿宋_GB2312" w:cs="Times New Roman"/>
          <w:b w:val="0"/>
          <w:bCs w:val="0"/>
          <w:color w:val="auto"/>
          <w:spacing w:val="0"/>
          <w:kern w:val="0"/>
          <w:sz w:val="32"/>
          <w:szCs w:val="32"/>
          <w:lang w:val="en-US" w:eastAsia="zh-CN" w:bidi="ar"/>
        </w:rPr>
        <w:t>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color w:val="auto"/>
          <w:spacing w:val="0"/>
          <w:kern w:val="0"/>
          <w:sz w:val="32"/>
          <w:szCs w:val="32"/>
          <w:lang w:val="en-US" w:eastAsia="zh-CN" w:bidi="ar"/>
        </w:rPr>
      </w:pPr>
      <w:r>
        <w:rPr>
          <w:rFonts w:hint="eastAsia" w:ascii="楷体_GB2312" w:hAnsi="楷体_GB2312" w:eastAsia="楷体_GB2312" w:cs="楷体_GB2312"/>
          <w:b w:val="0"/>
          <w:bCs w:val="0"/>
          <w:color w:val="auto"/>
          <w:spacing w:val="0"/>
          <w:kern w:val="0"/>
          <w:sz w:val="32"/>
          <w:szCs w:val="32"/>
          <w:lang w:val="en-US" w:eastAsia="zh-CN" w:bidi="ar"/>
        </w:rPr>
        <w:t>（三）项目实施意义</w:t>
      </w:r>
    </w:p>
    <w:p>
      <w:pPr>
        <w:keepNext w:val="0"/>
        <w:keepLines w:val="0"/>
        <w:pageBreakBefore w:val="0"/>
        <w:widowControl w:val="0"/>
        <w:suppressLineNumbers w:val="0"/>
        <w:kinsoku/>
        <w:wordWrap/>
        <w:overflowPunct/>
        <w:topLinePunct w:val="0"/>
        <w:autoSpaceDN/>
        <w:bidi w:val="0"/>
        <w:adjustRightIn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val="0"/>
          <w:color w:val="auto"/>
          <w:spacing w:val="0"/>
          <w:kern w:val="0"/>
          <w:sz w:val="32"/>
          <w:szCs w:val="32"/>
          <w:lang w:val="en-US" w:eastAsia="zh-CN" w:bidi="ar"/>
        </w:rPr>
        <w:t>简述项目实施对消除节能设施现存隐患、功能恢复提升和保障履职等作用。</w:t>
      </w:r>
    </w:p>
    <w:p>
      <w:pPr>
        <w:keepNext w:val="0"/>
        <w:keepLines w:val="0"/>
        <w:pageBreakBefore w:val="0"/>
        <w:widowControl w:val="0"/>
        <w:suppressLineNumbers w:val="0"/>
        <w:kinsoku/>
        <w:wordWrap/>
        <w:overflowPunct/>
        <w:topLinePunct w:val="0"/>
        <w:autoSpaceDN/>
        <w:bidi w:val="0"/>
        <w:adjustRightInd w:val="0"/>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color w:val="auto"/>
          <w:spacing w:val="0"/>
          <w:kern w:val="0"/>
          <w:sz w:val="32"/>
          <w:szCs w:val="32"/>
          <w:lang w:bidi="ar"/>
        </w:rPr>
      </w:pPr>
      <w:r>
        <w:rPr>
          <w:rFonts w:hint="default" w:ascii="Times New Roman" w:hAnsi="Times New Roman" w:eastAsia="黑体" w:cs="Times New Roman"/>
          <w:b w:val="0"/>
          <w:bCs w:val="0"/>
          <w:color w:val="auto"/>
          <w:spacing w:val="0"/>
          <w:kern w:val="0"/>
          <w:sz w:val="32"/>
          <w:szCs w:val="32"/>
          <w:lang w:val="en-US" w:eastAsia="zh-CN" w:bidi="ar"/>
        </w:rPr>
        <w:t>三</w:t>
      </w:r>
      <w:r>
        <w:rPr>
          <w:rFonts w:hint="eastAsia" w:ascii="Times New Roman" w:hAnsi="Times New Roman" w:eastAsia="仿宋_GB2312" w:cs="Times New Roman"/>
          <w:color w:val="auto"/>
          <w:spacing w:val="0"/>
          <w:sz w:val="32"/>
          <w:szCs w:val="32"/>
          <w:lang w:eastAsia="zh-CN"/>
        </w:rPr>
        <w:t>、</w:t>
      </w:r>
      <w:r>
        <w:rPr>
          <w:rFonts w:hint="eastAsia" w:ascii="黑体" w:hAnsi="黑体" w:eastAsia="黑体" w:cs="黑体"/>
          <w:color w:val="auto"/>
          <w:sz w:val="32"/>
          <w:szCs w:val="32"/>
          <w:lang w:val="en-US" w:eastAsia="zh-CN"/>
        </w:rPr>
        <w:t>可行性分析</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spacing w:val="0"/>
          <w:kern w:val="0"/>
          <w:sz w:val="32"/>
          <w:szCs w:val="32"/>
          <w:lang w:val="en-US" w:eastAsia="zh-CN" w:bidi="ar"/>
        </w:rPr>
      </w:pPr>
      <w:r>
        <w:rPr>
          <w:rFonts w:hint="eastAsia" w:ascii="楷体_GB2312" w:hAnsi="楷体_GB2312" w:eastAsia="楷体_GB2312" w:cs="楷体_GB2312"/>
          <w:b w:val="0"/>
          <w:bCs w:val="0"/>
          <w:color w:val="auto"/>
          <w:spacing w:val="0"/>
          <w:kern w:val="0"/>
          <w:sz w:val="32"/>
          <w:szCs w:val="32"/>
          <w:lang w:val="en-US" w:eastAsia="zh-CN" w:bidi="ar"/>
        </w:rPr>
        <w:t>（一）节能改造方案</w:t>
      </w:r>
    </w:p>
    <w:p>
      <w:pPr>
        <w:pStyle w:val="2"/>
        <w:jc w:val="both"/>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项目</w:t>
      </w:r>
      <w:r>
        <w:rPr>
          <w:rFonts w:hint="eastAsia" w:ascii="Times New Roman" w:hAnsi="Times New Roman" w:eastAsia="仿宋_GB2312" w:cs="Times New Roman"/>
          <w:color w:val="auto"/>
          <w:kern w:val="2"/>
          <w:sz w:val="32"/>
          <w:szCs w:val="32"/>
          <w:lang w:val="en-US" w:eastAsia="zh-CN" w:bidi="ar-SA"/>
        </w:rPr>
        <w:t>拟</w:t>
      </w:r>
      <w:r>
        <w:rPr>
          <w:rFonts w:hint="default" w:ascii="Times New Roman" w:hAnsi="Times New Roman" w:eastAsia="仿宋_GB2312" w:cs="Times New Roman"/>
          <w:color w:val="auto"/>
          <w:kern w:val="2"/>
          <w:sz w:val="32"/>
          <w:szCs w:val="32"/>
          <w:lang w:val="en-US" w:eastAsia="zh-CN" w:bidi="ar-SA"/>
        </w:rPr>
        <w:t>实施节能改造技术、设施设备种类和数量、</w:t>
      </w:r>
      <w:r>
        <w:rPr>
          <w:rFonts w:hint="eastAsia" w:ascii="Times New Roman" w:hAnsi="Times New Roman" w:eastAsia="仿宋_GB2312" w:cs="Times New Roman"/>
          <w:color w:val="auto"/>
          <w:kern w:val="2"/>
          <w:sz w:val="32"/>
          <w:szCs w:val="32"/>
          <w:lang w:val="en-US" w:eastAsia="zh-CN" w:bidi="ar-SA"/>
        </w:rPr>
        <w:t>节能降碳目标测算、</w:t>
      </w:r>
      <w:r>
        <w:rPr>
          <w:rFonts w:hint="default" w:ascii="Times New Roman" w:hAnsi="Times New Roman" w:eastAsia="仿宋_GB2312" w:cs="Times New Roman"/>
          <w:color w:val="auto"/>
          <w:kern w:val="2"/>
          <w:sz w:val="32"/>
          <w:szCs w:val="32"/>
          <w:lang w:val="en-US" w:eastAsia="zh-CN" w:bidi="ar-SA"/>
        </w:rPr>
        <w:t>技术支持单位资质（若有）、预算明细</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实施</w:t>
      </w:r>
      <w:r>
        <w:rPr>
          <w:rFonts w:hint="eastAsia" w:ascii="Times New Roman" w:hAnsi="Times New Roman" w:eastAsia="仿宋_GB2312" w:cs="Times New Roman"/>
          <w:color w:val="auto"/>
          <w:kern w:val="2"/>
          <w:sz w:val="32"/>
          <w:szCs w:val="32"/>
          <w:lang w:val="en-US" w:eastAsia="zh-CN" w:bidi="ar-SA"/>
        </w:rPr>
        <w:t>工期、</w:t>
      </w:r>
      <w:r>
        <w:rPr>
          <w:rFonts w:hint="default" w:ascii="Times New Roman" w:hAnsi="Times New Roman" w:eastAsia="仿宋_GB2312" w:cs="Times New Roman"/>
          <w:color w:val="auto"/>
          <w:kern w:val="2"/>
          <w:sz w:val="32"/>
          <w:szCs w:val="32"/>
          <w:lang w:val="en-US" w:eastAsia="zh-CN" w:bidi="ar-SA"/>
        </w:rPr>
        <w:t>计划及进度安排</w:t>
      </w:r>
      <w:r>
        <w:rPr>
          <w:rFonts w:hint="eastAsia" w:ascii="Times New Roman" w:hAnsi="Times New Roman" w:eastAsia="仿宋_GB2312" w:cs="Times New Roman"/>
          <w:color w:val="auto"/>
          <w:kern w:val="2"/>
          <w:sz w:val="32"/>
          <w:szCs w:val="32"/>
          <w:lang w:val="en-US" w:eastAsia="zh-CN" w:bidi="ar-SA"/>
        </w:rPr>
        <w:t>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spacing w:val="0"/>
          <w:kern w:val="0"/>
          <w:sz w:val="32"/>
          <w:szCs w:val="32"/>
          <w:lang w:val="en-US" w:eastAsia="zh-CN" w:bidi="ar"/>
        </w:rPr>
      </w:pPr>
      <w:r>
        <w:rPr>
          <w:rFonts w:hint="eastAsia" w:ascii="楷体_GB2312" w:hAnsi="楷体_GB2312" w:eastAsia="楷体_GB2312" w:cs="楷体_GB2312"/>
          <w:b w:val="0"/>
          <w:bCs w:val="0"/>
          <w:color w:val="auto"/>
          <w:spacing w:val="0"/>
          <w:kern w:val="0"/>
          <w:sz w:val="32"/>
          <w:szCs w:val="32"/>
          <w:lang w:val="en-US" w:eastAsia="zh-CN" w:bidi="ar"/>
        </w:rPr>
        <w:t>（二）项目实施准备情况</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0"/>
          <w:sz w:val="32"/>
          <w:szCs w:val="32"/>
          <w:lang w:val="en-US" w:eastAsia="zh-CN" w:bidi="ar"/>
        </w:rPr>
      </w:pPr>
      <w:r>
        <w:rPr>
          <w:rFonts w:hint="default" w:ascii="Times New Roman" w:hAnsi="Times New Roman" w:eastAsia="仿宋_GB2312" w:cs="Times New Roman"/>
          <w:b w:val="0"/>
          <w:bCs w:val="0"/>
          <w:color w:val="auto"/>
          <w:spacing w:val="0"/>
          <w:kern w:val="0"/>
          <w:sz w:val="32"/>
          <w:szCs w:val="32"/>
          <w:lang w:val="en-US" w:eastAsia="zh-CN" w:bidi="ar"/>
        </w:rPr>
        <w:t>简述项目申报补助资金前已完成的前期各项准备工作、工作开展组织架构、项目存在的风险分析以及各项保障措施等。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spacing w:val="0"/>
          <w:kern w:val="0"/>
          <w:sz w:val="32"/>
          <w:szCs w:val="32"/>
          <w:lang w:val="en-US" w:eastAsia="zh-CN" w:bidi="ar"/>
        </w:rPr>
      </w:pPr>
      <w:r>
        <w:rPr>
          <w:rFonts w:hint="eastAsia" w:ascii="楷体_GB2312" w:hAnsi="楷体_GB2312" w:eastAsia="楷体_GB2312" w:cs="楷体_GB2312"/>
          <w:b w:val="0"/>
          <w:bCs w:val="0"/>
          <w:color w:val="auto"/>
          <w:spacing w:val="0"/>
          <w:kern w:val="0"/>
          <w:sz w:val="32"/>
          <w:szCs w:val="32"/>
          <w:lang w:val="en-US" w:eastAsia="zh-CN" w:bidi="ar"/>
        </w:rPr>
        <w:t>（三）项目审批情况</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kern w:val="0"/>
          <w:sz w:val="32"/>
          <w:szCs w:val="32"/>
          <w:lang w:val="en-US" w:eastAsia="zh-CN" w:bidi="ar"/>
        </w:rPr>
        <w:t>简述项目履行审批程序及审查情况，（拟采用）采购审批情况</w:t>
      </w:r>
      <w:r>
        <w:rPr>
          <w:rFonts w:hint="eastAsia" w:ascii="Times New Roman" w:hAnsi="Times New Roman" w:eastAsia="仿宋_GB2312" w:cs="Times New Roman"/>
          <w:b w:val="0"/>
          <w:bCs w:val="0"/>
          <w:color w:val="auto"/>
          <w:spacing w:val="0"/>
          <w:kern w:val="0"/>
          <w:sz w:val="32"/>
          <w:szCs w:val="32"/>
          <w:lang w:val="en-US" w:eastAsia="zh-CN" w:bidi="ar"/>
        </w:rPr>
        <w:t>，</w:t>
      </w:r>
      <w:r>
        <w:rPr>
          <w:rFonts w:hint="default" w:ascii="Times New Roman" w:hAnsi="Times New Roman" w:eastAsia="仿宋_GB2312" w:cs="Times New Roman"/>
          <w:b w:val="0"/>
          <w:bCs w:val="0"/>
          <w:color w:val="auto"/>
          <w:spacing w:val="0"/>
          <w:kern w:val="0"/>
          <w:sz w:val="32"/>
          <w:szCs w:val="32"/>
          <w:lang w:val="en-US" w:eastAsia="zh-CN" w:bidi="ar"/>
        </w:rPr>
        <w:t>以及项目涉及的房屋和资产权属、使用管理责任等内容。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color w:val="auto"/>
          <w:spacing w:val="0"/>
          <w:kern w:val="0"/>
          <w:sz w:val="32"/>
          <w:szCs w:val="32"/>
          <w:lang w:bidi="ar"/>
        </w:rPr>
      </w:pPr>
      <w:r>
        <w:rPr>
          <w:rFonts w:hint="default" w:ascii="Times New Roman" w:hAnsi="Times New Roman" w:eastAsia="黑体" w:cs="Times New Roman"/>
          <w:b w:val="0"/>
          <w:bCs w:val="0"/>
          <w:color w:val="auto"/>
          <w:spacing w:val="0"/>
          <w:kern w:val="0"/>
          <w:sz w:val="32"/>
          <w:szCs w:val="32"/>
          <w:lang w:val="en-US" w:eastAsia="zh-CN" w:bidi="ar"/>
        </w:rPr>
        <w:t>四、绩效目标</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0"/>
          <w:kern w:val="0"/>
          <w:sz w:val="32"/>
          <w:szCs w:val="32"/>
          <w:lang w:val="en-US" w:eastAsia="zh-CN" w:bidi="ar"/>
        </w:rPr>
        <w:t>绩效目标应包括：产出指标（数量指标、质量指标、时效指标）、效益指标（经济效益指标、社会效益指标、可持续性影响指标）、满意度指标几大类指标。各绩效指标值设置时，应当</w:t>
      </w:r>
      <w:r>
        <w:rPr>
          <w:rFonts w:hint="eastAsia" w:ascii="Times New Roman" w:hAnsi="Times New Roman" w:eastAsia="仿宋_GB2312" w:cs="Times New Roman"/>
          <w:color w:val="auto"/>
          <w:sz w:val="32"/>
          <w:szCs w:val="32"/>
          <w:lang w:val="en-US" w:eastAsia="zh-CN"/>
        </w:rPr>
        <w:t>符合</w:t>
      </w:r>
      <w:r>
        <w:rPr>
          <w:rFonts w:hint="default" w:ascii="Times New Roman" w:hAnsi="Times New Roman" w:eastAsia="仿宋_GB2312" w:cs="Times New Roman"/>
          <w:color w:val="auto"/>
          <w:spacing w:val="0"/>
          <w:kern w:val="0"/>
          <w:sz w:val="32"/>
          <w:szCs w:val="32"/>
          <w:lang w:val="en-US" w:eastAsia="zh-CN" w:bidi="ar"/>
        </w:rPr>
        <w:t>指向明确、代表性强、细化量化、合理可行、相应匹配等原则。</w:t>
      </w:r>
    </w:p>
    <w:p>
      <w:pPr>
        <w:keepNext w:val="0"/>
        <w:keepLines w:val="0"/>
        <w:pageBreakBefore w:val="0"/>
        <w:widowControl w:val="0"/>
        <w:kinsoku/>
        <w:wordWrap/>
        <w:overflowPunct/>
        <w:topLinePunct w:val="0"/>
        <w:autoSpaceDN/>
        <w:bidi w:val="0"/>
        <w:adjustRightInd w:val="0"/>
        <w:snapToGrid w:val="0"/>
        <w:spacing w:line="560" w:lineRule="exact"/>
        <w:ind w:firstLine="0" w:firstLineChars="0"/>
        <w:textAlignment w:val="auto"/>
        <w:rPr>
          <w:rFonts w:hint="default" w:ascii="Times New Roman" w:hAnsi="Times New Roman" w:eastAsia="黑体" w:cs="Times New Roman"/>
          <w:color w:val="auto"/>
          <w:sz w:val="32"/>
          <w:szCs w:val="32"/>
          <w:highlight w:val="none"/>
          <w:lang w:val="en-US" w:eastAsia="zh-CN"/>
        </w:rPr>
        <w:sectPr>
          <w:headerReference r:id="rId3" w:type="default"/>
          <w:footerReference r:id="rId5" w:type="default"/>
          <w:headerReference r:id="rId4" w:type="even"/>
          <w:footerReference r:id="rId6" w:type="even"/>
          <w:pgSz w:w="11906" w:h="16838"/>
          <w:pgMar w:top="2098" w:right="1531" w:bottom="1984" w:left="1531" w:header="1701" w:footer="1531"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60" w:line="590" w:lineRule="exact"/>
        <w:ind w:firstLine="0" w:firstLine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6"/>
        <w:gridCol w:w="1456"/>
        <w:gridCol w:w="1249"/>
        <w:gridCol w:w="919"/>
        <w:gridCol w:w="1456"/>
        <w:gridCol w:w="866"/>
        <w:gridCol w:w="828"/>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9440" w:type="dxa"/>
            <w:gridSpan w:val="8"/>
            <w:tcBorders>
              <w:top w:val="nil"/>
              <w:left w:val="nil"/>
              <w:bottom w:val="nil"/>
              <w:right w:val="nil"/>
            </w:tcBorders>
            <w:noWrap/>
            <w:vAlign w:val="center"/>
          </w:tcPr>
          <w:p>
            <w:pPr>
              <w:keepNext w:val="0"/>
              <w:keepLines w:val="0"/>
              <w:widowControl/>
              <w:suppressLineNumbers w:val="0"/>
              <w:spacing w:line="590" w:lineRule="exact"/>
              <w:jc w:val="center"/>
              <w:textAlignment w:val="center"/>
              <w:rPr>
                <w:rFonts w:hint="default" w:ascii="Times New Roman" w:hAnsi="Times New Roman" w:eastAsia="方正小标宋简体" w:cs="Times New Roman"/>
                <w:i w:val="0"/>
                <w:iCs w:val="0"/>
                <w:color w:val="auto"/>
                <w:sz w:val="32"/>
                <w:szCs w:val="32"/>
                <w:u w:val="none"/>
              </w:rPr>
            </w:pPr>
            <w:r>
              <w:rPr>
                <w:rFonts w:hint="default" w:ascii="Times New Roman" w:hAnsi="Times New Roman" w:eastAsia="方正小标宋简体" w:cs="Times New Roman"/>
                <w:i w:val="0"/>
                <w:iCs w:val="0"/>
                <w:color w:val="auto"/>
                <w:kern w:val="0"/>
                <w:sz w:val="44"/>
                <w:szCs w:val="44"/>
                <w:u w:val="none"/>
                <w:lang w:val="en-US" w:eastAsia="zh-CN" w:bidi="ar"/>
              </w:rPr>
              <w:t>公共机构节能减排项目专项资金</w:t>
            </w:r>
            <w:r>
              <w:rPr>
                <w:rFonts w:hint="eastAsia" w:ascii="Times New Roman" w:hAnsi="Times New Roman" w:eastAsia="方正小标宋简体" w:cs="Times New Roman"/>
                <w:i w:val="0"/>
                <w:iCs w:val="0"/>
                <w:color w:val="auto"/>
                <w:kern w:val="0"/>
                <w:sz w:val="44"/>
                <w:szCs w:val="44"/>
                <w:u w:val="none"/>
                <w:lang w:val="en-US" w:eastAsia="zh-CN" w:bidi="ar"/>
              </w:rPr>
              <w:t>补助</w:t>
            </w:r>
            <w:r>
              <w:rPr>
                <w:rFonts w:hint="default" w:ascii="Times New Roman" w:hAnsi="Times New Roman" w:eastAsia="方正小标宋简体" w:cs="Times New Roman"/>
                <w:i w:val="0"/>
                <w:iCs w:val="0"/>
                <w:color w:val="auto"/>
                <w:kern w:val="0"/>
                <w:sz w:val="44"/>
                <w:szCs w:val="44"/>
                <w:u w:val="none"/>
                <w:lang w:val="en-US" w:eastAsia="zh-CN" w:bidi="ar"/>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9440"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i w:val="0"/>
                <w:iCs w:val="0"/>
                <w:color w:val="auto"/>
                <w:sz w:val="24"/>
                <w:szCs w:val="24"/>
                <w:u w:val="none"/>
                <w:lang w:val="en-US" w:eastAsia="zh-CN"/>
              </w:rPr>
            </w:pPr>
            <w:r>
              <w:rPr>
                <w:rFonts w:hint="default" w:ascii="Times New Roman" w:hAnsi="Times New Roman" w:eastAsia="黑体" w:cs="Times New Roman"/>
                <w:i w:val="0"/>
                <w:iCs w:val="0"/>
                <w:color w:val="auto"/>
                <w:sz w:val="24"/>
                <w:szCs w:val="24"/>
                <w:u w:val="none"/>
                <w:lang w:val="en-US" w:eastAsia="zh-CN"/>
              </w:rPr>
              <w:t>一、项目基本情况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bidi="ar"/>
              </w:rPr>
              <w:t>项目申报单位</w:t>
            </w:r>
          </w:p>
        </w:tc>
        <w:tc>
          <w:tcPr>
            <w:tcW w:w="362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lang w:val="en-US" w:eastAsia="zh-CN"/>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lang w:val="en-US" w:eastAsia="zh-CN"/>
              </w:rPr>
            </w:pPr>
            <w:r>
              <w:rPr>
                <w:rFonts w:hint="default" w:ascii="Times New Roman" w:hAnsi="Times New Roman" w:eastAsia="仿宋_GB2312" w:cs="Times New Roman"/>
                <w:b w:val="0"/>
                <w:bCs w:val="0"/>
                <w:i w:val="0"/>
                <w:iCs w:val="0"/>
                <w:color w:val="auto"/>
                <w:kern w:val="0"/>
                <w:sz w:val="24"/>
                <w:szCs w:val="24"/>
                <w:u w:val="none"/>
                <w:lang w:val="en-US" w:eastAsia="zh-CN" w:bidi="ar"/>
              </w:rPr>
              <w:t>项目所在地</w:t>
            </w:r>
          </w:p>
        </w:tc>
        <w:tc>
          <w:tcPr>
            <w:tcW w:w="245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b w:val="0"/>
                <w:bCs w:val="0"/>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项目名称</w:t>
            </w:r>
          </w:p>
        </w:tc>
        <w:tc>
          <w:tcPr>
            <w:tcW w:w="7534"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联系人</w:t>
            </w:r>
          </w:p>
        </w:tc>
        <w:tc>
          <w:tcPr>
            <w:tcW w:w="362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联系电话</w:t>
            </w:r>
          </w:p>
        </w:tc>
        <w:tc>
          <w:tcPr>
            <w:tcW w:w="245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项目内容</w:t>
            </w:r>
          </w:p>
        </w:tc>
        <w:tc>
          <w:tcPr>
            <w:tcW w:w="7534"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项目拟承担单位资质（技术条件）要求</w:t>
            </w:r>
          </w:p>
        </w:tc>
        <w:tc>
          <w:tcPr>
            <w:tcW w:w="7534"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iCs w:val="0"/>
                <w:color w:val="auto"/>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拟开工时间</w:t>
            </w:r>
          </w:p>
        </w:tc>
        <w:tc>
          <w:tcPr>
            <w:tcW w:w="362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kern w:val="2"/>
                <w:sz w:val="24"/>
                <w:szCs w:val="24"/>
                <w:u w:val="none"/>
                <w:lang w:val="en-US" w:eastAsia="zh-CN" w:bidi="ar-SA"/>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iCs w:val="0"/>
                <w:color w:val="auto"/>
                <w:kern w:val="2"/>
                <w:sz w:val="24"/>
                <w:szCs w:val="24"/>
                <w:u w:val="none"/>
                <w:lang w:val="en-US" w:eastAsia="zh-CN" w:bidi="ar-SA"/>
              </w:rPr>
            </w:pPr>
            <w:r>
              <w:rPr>
                <w:rFonts w:hint="default" w:ascii="Times New Roman" w:hAnsi="Times New Roman" w:eastAsia="仿宋_GB2312" w:cs="Times New Roman"/>
                <w:b w:val="0"/>
                <w:bCs w:val="0"/>
                <w:i w:val="0"/>
                <w:iCs w:val="0"/>
                <w:color w:val="auto"/>
                <w:kern w:val="0"/>
                <w:sz w:val="24"/>
                <w:szCs w:val="24"/>
                <w:u w:val="none"/>
                <w:lang w:val="en-US" w:eastAsia="zh-CN" w:bidi="ar"/>
              </w:rPr>
              <w:t>拟竣工时间</w:t>
            </w:r>
          </w:p>
        </w:tc>
        <w:tc>
          <w:tcPr>
            <w:tcW w:w="245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黑体" w:cs="Times New Roman"/>
                <w:b w:val="0"/>
                <w:bCs w:val="0"/>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440"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黑体" w:cs="Times New Roman"/>
                <w:i w:val="0"/>
                <w:iCs w:val="0"/>
                <w:color w:val="auto"/>
                <w:sz w:val="24"/>
                <w:szCs w:val="24"/>
                <w:u w:val="none"/>
                <w:lang w:val="en-US" w:eastAsia="zh-CN"/>
              </w:rPr>
            </w:pPr>
            <w:r>
              <w:rPr>
                <w:rFonts w:hint="default" w:ascii="Times New Roman" w:hAnsi="Times New Roman" w:eastAsia="黑体" w:cs="Times New Roman"/>
                <w:i w:val="0"/>
                <w:iCs w:val="0"/>
                <w:color w:val="auto"/>
                <w:sz w:val="24"/>
                <w:szCs w:val="24"/>
                <w:u w:val="none"/>
                <w:lang w:val="en-US" w:eastAsia="zh-CN"/>
              </w:rPr>
              <w:t>二、资金申请情况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项目总预算及资金来源（万元）</w:t>
            </w:r>
          </w:p>
        </w:tc>
        <w:tc>
          <w:tcPr>
            <w:tcW w:w="362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申请</w:t>
            </w:r>
            <w:r>
              <w:rPr>
                <w:rFonts w:hint="eastAsia" w:ascii="Times New Roman" w:hAnsi="Times New Roman" w:eastAsia="仿宋_GB2312" w:cs="Times New Roman"/>
                <w:b w:val="0"/>
                <w:bCs w:val="0"/>
                <w:i w:val="0"/>
                <w:iCs w:val="0"/>
                <w:color w:val="auto"/>
                <w:kern w:val="0"/>
                <w:sz w:val="24"/>
                <w:szCs w:val="24"/>
                <w:u w:val="none"/>
                <w:lang w:val="en-US" w:eastAsia="zh-CN" w:bidi="ar"/>
              </w:rPr>
              <w:t>补助</w:t>
            </w:r>
          </w:p>
          <w:p>
            <w:pPr>
              <w:keepNext w:val="0"/>
              <w:keepLines w:val="0"/>
              <w:widowControl/>
              <w:suppressLineNumbers w:val="0"/>
              <w:spacing w:line="300" w:lineRule="exact"/>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资金（万元）</w:t>
            </w:r>
          </w:p>
        </w:tc>
        <w:tc>
          <w:tcPr>
            <w:tcW w:w="245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c>
          <w:tcPr>
            <w:tcW w:w="362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c>
          <w:tcPr>
            <w:tcW w:w="245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配套资金</w:t>
            </w:r>
          </w:p>
          <w:p>
            <w:pPr>
              <w:spacing w:line="300" w:lineRule="exact"/>
              <w:jc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（万元）</w:t>
            </w:r>
          </w:p>
        </w:tc>
        <w:tc>
          <w:tcPr>
            <w:tcW w:w="362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配套资金 到位情况</w:t>
            </w:r>
          </w:p>
        </w:tc>
        <w:tc>
          <w:tcPr>
            <w:tcW w:w="245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_GB2312" w:cs="Times New Roman"/>
                <w:b w:val="0"/>
                <w:bCs w:val="0"/>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4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3226"/>
              </w:tabs>
              <w:spacing w:line="300" w:lineRule="exact"/>
              <w:jc w:val="left"/>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三、绩效目标情况</w:t>
            </w:r>
            <w:r>
              <w:rPr>
                <w:rFonts w:hint="default" w:ascii="Times New Roman" w:hAnsi="Times New Roman" w:eastAsia="黑体" w:cs="Times New Roman"/>
                <w:i w:val="0"/>
                <w:iCs w:val="0"/>
                <w:color w:val="auto"/>
                <w:kern w:val="0"/>
                <w:sz w:val="24"/>
                <w:szCs w:val="24"/>
                <w:u w:val="none"/>
                <w:lang w:val="en-US" w:eastAsia="zh-CN" w:bidi="ar"/>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总体节能目标</w:t>
            </w:r>
          </w:p>
        </w:tc>
        <w:tc>
          <w:tcPr>
            <w:tcW w:w="753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目标1：（</w:t>
            </w:r>
            <w:r>
              <w:rPr>
                <w:rFonts w:hint="default" w:ascii="Times New Roman" w:hAnsi="Times New Roman" w:eastAsia="仿宋_GB2312" w:cs="Times New Roman"/>
                <w:color w:val="auto"/>
                <w:lang w:val="en-US" w:eastAsia="zh-CN"/>
              </w:rPr>
              <w:t>比如人均综合能耗、单位建筑面积能耗、人均水耗、单位建筑面积二氧化碳排放量等）</w:t>
            </w:r>
          </w:p>
          <w:p>
            <w:pPr>
              <w:keepNext w:val="0"/>
              <w:keepLines w:val="0"/>
              <w:widowControl/>
              <w:suppressLineNumbers w:val="0"/>
              <w:spacing w:line="300" w:lineRule="exact"/>
              <w:jc w:val="lef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目标2：（</w:t>
            </w:r>
            <w:r>
              <w:rPr>
                <w:rFonts w:hint="default" w:ascii="Times New Roman" w:hAnsi="Times New Roman" w:eastAsia="仿宋_GB2312" w:cs="Times New Roman"/>
                <w:color w:val="auto"/>
                <w:lang w:val="en-US" w:eastAsia="zh-CN"/>
              </w:rPr>
              <w:t>比如项目实施后对照贵州省《公共机构能耗定额》人均综合能耗、</w:t>
            </w:r>
            <w:r>
              <w:rPr>
                <w:rFonts w:hint="eastAsia" w:ascii="Times New Roman" w:hAnsi="Times New Roman" w:eastAsia="仿宋_GB2312" w:cs="Times New Roman"/>
                <w:color w:val="auto"/>
                <w:lang w:val="en-US" w:eastAsia="zh-CN"/>
              </w:rPr>
              <w:t>单位</w:t>
            </w:r>
            <w:r>
              <w:rPr>
                <w:rFonts w:hint="default" w:ascii="Times New Roman" w:hAnsi="Times New Roman" w:eastAsia="仿宋_GB2312" w:cs="Times New Roman"/>
                <w:color w:val="auto"/>
                <w:lang w:val="en-US" w:eastAsia="zh-CN"/>
              </w:rPr>
              <w:t>建筑面积能耗处于引导值、基准值还是目标值区间）</w:t>
            </w:r>
          </w:p>
          <w:p>
            <w:pPr>
              <w:pStyle w:val="5"/>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目标3：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90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一级指标</w:t>
            </w:r>
          </w:p>
        </w:tc>
        <w:tc>
          <w:tcPr>
            <w:tcW w:w="145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二级指标</w:t>
            </w:r>
          </w:p>
        </w:tc>
        <w:tc>
          <w:tcPr>
            <w:tcW w:w="3624" w:type="dxa"/>
            <w:gridSpan w:val="3"/>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三级指标</w:t>
            </w:r>
          </w:p>
        </w:tc>
        <w:tc>
          <w:tcPr>
            <w:tcW w:w="24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190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color w:val="auto"/>
              </w:rPr>
            </w:pPr>
          </w:p>
        </w:tc>
        <w:tc>
          <w:tcPr>
            <w:tcW w:w="145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color w:val="auto"/>
              </w:rPr>
            </w:pPr>
          </w:p>
        </w:tc>
        <w:tc>
          <w:tcPr>
            <w:tcW w:w="3624"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color w:val="auto"/>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*符号</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*值</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产出指标</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数量指标</w:t>
            </w:r>
          </w:p>
        </w:tc>
        <w:tc>
          <w:tcPr>
            <w:tcW w:w="36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质量指标</w:t>
            </w:r>
          </w:p>
        </w:tc>
        <w:tc>
          <w:tcPr>
            <w:tcW w:w="36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时效指标</w:t>
            </w:r>
          </w:p>
        </w:tc>
        <w:tc>
          <w:tcPr>
            <w:tcW w:w="36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项目完成及时率</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auto"/>
                <w:kern w:val="2"/>
                <w:sz w:val="18"/>
                <w:szCs w:val="18"/>
                <w:highlight w:val="none"/>
                <w:u w:val="none"/>
                <w:lang w:val="en-US" w:eastAsia="zh-CN" w:bidi="ar-SA"/>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auto"/>
                <w:kern w:val="2"/>
                <w:sz w:val="18"/>
                <w:szCs w:val="18"/>
                <w:highlight w:val="none"/>
                <w:u w:val="none"/>
                <w:lang w:val="en-US" w:eastAsia="zh-CN" w:bidi="ar-SA"/>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b w:val="0"/>
                <w:bCs w:val="0"/>
                <w:i w:val="0"/>
                <w:iCs w:val="0"/>
                <w:color w:val="auto"/>
                <w:kern w:val="2"/>
                <w:sz w:val="18"/>
                <w:szCs w:val="18"/>
                <w:highlight w:val="none"/>
                <w:u w:val="none"/>
                <w:lang w:val="en-US" w:eastAsia="zh-CN" w:bidi="ar-SA"/>
              </w:rPr>
            </w:pPr>
            <w:r>
              <w:rPr>
                <w:rFonts w:hint="default" w:ascii="Times New Roman" w:hAnsi="Times New Roman" w:eastAsia="仿宋" w:cs="Times New Roman"/>
                <w:b w:val="0"/>
                <w:bCs w:val="0"/>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成本指标</w:t>
            </w:r>
          </w:p>
        </w:tc>
        <w:tc>
          <w:tcPr>
            <w:tcW w:w="36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项目成本控制率</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auto"/>
                <w:kern w:val="2"/>
                <w:sz w:val="18"/>
                <w:szCs w:val="18"/>
                <w:highlight w:val="none"/>
                <w:u w:val="none"/>
                <w:lang w:val="en-US" w:eastAsia="zh-CN" w:bidi="ar-SA"/>
              </w:rPr>
            </w:pPr>
            <w:r>
              <w:rPr>
                <w:rFonts w:hint="default" w:ascii="Times New Roman" w:hAnsi="Times New Roman" w:eastAsia="仿宋_GB2312" w:cs="Times New Roman"/>
                <w:b w:val="0"/>
                <w:bCs w:val="0"/>
                <w:i w:val="0"/>
                <w:iCs w:val="0"/>
                <w:color w:val="auto"/>
                <w:kern w:val="0"/>
                <w:sz w:val="18"/>
                <w:szCs w:val="18"/>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i w:val="0"/>
                <w:iCs w:val="0"/>
                <w:color w:val="auto"/>
                <w:kern w:val="2"/>
                <w:sz w:val="18"/>
                <w:szCs w:val="18"/>
                <w:highlight w:val="none"/>
                <w:u w:val="none"/>
                <w:lang w:val="en-US" w:eastAsia="zh-CN" w:bidi="ar-SA"/>
              </w:rPr>
            </w:pPr>
            <w:r>
              <w:rPr>
                <w:rFonts w:hint="default" w:ascii="Times New Roman" w:hAnsi="Times New Roman" w:eastAsia="仿宋_GB2312" w:cs="Times New Roman"/>
                <w:b w:val="0"/>
                <w:bCs w:val="0"/>
                <w:i w:val="0"/>
                <w:iCs w:val="0"/>
                <w:color w:val="auto"/>
                <w:kern w:val="0"/>
                <w:sz w:val="18"/>
                <w:szCs w:val="18"/>
                <w:highlight w:val="none"/>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b w:val="0"/>
                <w:bCs w:val="0"/>
                <w:i w:val="0"/>
                <w:iCs w:val="0"/>
                <w:color w:val="auto"/>
                <w:kern w:val="2"/>
                <w:sz w:val="18"/>
                <w:szCs w:val="18"/>
                <w:highlight w:val="none"/>
                <w:u w:val="none"/>
                <w:lang w:val="en-US" w:eastAsia="zh-CN" w:bidi="ar-SA"/>
              </w:rPr>
            </w:pPr>
            <w:r>
              <w:rPr>
                <w:rFonts w:hint="default" w:ascii="Times New Roman" w:hAnsi="Times New Roman" w:eastAsia="仿宋" w:cs="Times New Roman"/>
                <w:b w:val="0"/>
                <w:bCs w:val="0"/>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效益指标</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经济效益</w:t>
            </w:r>
          </w:p>
        </w:tc>
        <w:tc>
          <w:tcPr>
            <w:tcW w:w="362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社会效益</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32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生态效益</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32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90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可持续影响</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32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1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满意度指标</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服务对象满意度</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32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kern w:val="2"/>
                <w:sz w:val="18"/>
                <w:szCs w:val="18"/>
                <w:highlight w:val="none"/>
                <w:u w:val="none"/>
                <w:lang w:val="en-US" w:eastAsia="zh-CN" w:bidi="ar-SA"/>
              </w:rPr>
            </w:pPr>
            <w:r>
              <w:rPr>
                <w:rFonts w:hint="default" w:ascii="Times New Roman" w:hAnsi="Times New Roman" w:eastAsia="仿宋_GB2312" w:cs="Times New Roman"/>
                <w:b w:val="0"/>
                <w:bCs w:val="0"/>
                <w:i w:val="0"/>
                <w:iCs w:val="0"/>
                <w:color w:val="auto"/>
                <w:kern w:val="0"/>
                <w:sz w:val="18"/>
                <w:szCs w:val="18"/>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kern w:val="2"/>
                <w:sz w:val="18"/>
                <w:szCs w:val="18"/>
                <w:highlight w:val="none"/>
                <w:u w:val="none"/>
                <w:lang w:val="en-US" w:eastAsia="zh-CN" w:bidi="ar-SA"/>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val="0"/>
                <w:bCs w:val="0"/>
                <w:i w:val="0"/>
                <w:iCs w:val="0"/>
                <w:color w:val="auto"/>
                <w:kern w:val="2"/>
                <w:sz w:val="18"/>
                <w:szCs w:val="18"/>
                <w:highlight w:val="none"/>
                <w:u w:val="none"/>
                <w:lang w:val="en-US" w:eastAsia="zh-CN" w:bidi="ar-SA"/>
              </w:rPr>
            </w:pPr>
            <w:r>
              <w:rPr>
                <w:rFonts w:hint="default" w:ascii="Times New Roman" w:hAnsi="Times New Roman" w:eastAsia="仿宋" w:cs="Times New Roman"/>
                <w:b w:val="0"/>
                <w:bCs w:val="0"/>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94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四、部门审核意见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主管部门意见</w:t>
            </w:r>
          </w:p>
        </w:tc>
        <w:tc>
          <w:tcPr>
            <w:tcW w:w="7534"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 xml:space="preserve">       </w:t>
            </w:r>
          </w:p>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p>
            <w:pPr>
              <w:keepNext w:val="0"/>
              <w:keepLines w:val="0"/>
              <w:widowControl/>
              <w:suppressLineNumbers w:val="0"/>
              <w:spacing w:line="300" w:lineRule="exact"/>
              <w:jc w:val="left"/>
              <w:textAlignment w:val="center"/>
              <w:rPr>
                <w:rFonts w:hint="default" w:ascii="Times New Roman" w:hAnsi="Times New Roman" w:eastAsia="黑体" w:cs="Times New Roman"/>
                <w:i w:val="0"/>
                <w:iCs w:val="0"/>
                <w:color w:val="auto"/>
                <w:kern w:val="0"/>
                <w:sz w:val="24"/>
                <w:szCs w:val="24"/>
                <w:u w:val="none"/>
                <w:lang w:val="en-US" w:eastAsia="zh-CN" w:bidi="ar"/>
              </w:rPr>
            </w:pPr>
          </w:p>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 xml:space="preserve">                                 </w:t>
            </w:r>
            <w:r>
              <w:rPr>
                <w:rFonts w:hint="default" w:ascii="Times New Roman" w:hAnsi="Times New Roman" w:eastAsia="黑体" w:cs="Times New Roman"/>
                <w:i w:val="0"/>
                <w:iCs w:val="0"/>
                <w:color w:val="auto"/>
                <w:kern w:val="0"/>
                <w:sz w:val="24"/>
                <w:szCs w:val="24"/>
                <w:u w:val="none"/>
                <w:lang w:val="en-US" w:eastAsia="zh-CN" w:bidi="ar"/>
              </w:rPr>
              <w:br w:type="textWrapping"/>
            </w:r>
            <w:r>
              <w:rPr>
                <w:rFonts w:hint="default" w:ascii="Times New Roman" w:hAnsi="Times New Roman" w:eastAsia="黑体" w:cs="Times New Roman"/>
                <w:i w:val="0"/>
                <w:iCs w:val="0"/>
                <w:color w:val="auto"/>
                <w:kern w:val="0"/>
                <w:sz w:val="24"/>
                <w:szCs w:val="24"/>
                <w:u w:val="none"/>
                <w:lang w:val="en-US" w:eastAsia="zh-CN" w:bidi="ar"/>
              </w:rPr>
              <w:br w:type="textWrapping"/>
            </w:r>
            <w:r>
              <w:rPr>
                <w:rFonts w:hint="default" w:ascii="Times New Roman" w:hAnsi="Times New Roman" w:eastAsia="黑体" w:cs="Times New Roman"/>
                <w:i w:val="0"/>
                <w:iCs w:val="0"/>
                <w:color w:val="auto"/>
                <w:kern w:val="0"/>
                <w:sz w:val="24"/>
                <w:szCs w:val="24"/>
                <w:u w:val="none"/>
                <w:lang w:val="en-US" w:eastAsia="zh-CN" w:bidi="ar"/>
              </w:rPr>
              <w:br w:type="textWrapping"/>
            </w:r>
            <w:r>
              <w:rPr>
                <w:rFonts w:hint="default" w:ascii="Times New Roman" w:hAnsi="Times New Roman" w:eastAsia="黑体" w:cs="Times New Roman"/>
                <w:i w:val="0"/>
                <w:iCs w:val="0"/>
                <w:color w:val="auto"/>
                <w:kern w:val="0"/>
                <w:sz w:val="24"/>
                <w:szCs w:val="24"/>
                <w:u w:val="none"/>
                <w:lang w:val="en-US" w:eastAsia="zh-CN" w:bidi="ar"/>
              </w:rPr>
              <w:t xml:space="preserve">                        （单位盖章）</w:t>
            </w:r>
            <w:r>
              <w:rPr>
                <w:rFonts w:hint="default" w:ascii="Times New Roman" w:hAnsi="Times New Roman" w:eastAsia="黑体" w:cs="Times New Roman"/>
                <w:i w:val="0"/>
                <w:iCs w:val="0"/>
                <w:color w:val="auto"/>
                <w:kern w:val="0"/>
                <w:sz w:val="24"/>
                <w:szCs w:val="24"/>
                <w:u w:val="none"/>
                <w:lang w:val="en-US" w:eastAsia="zh-CN" w:bidi="ar"/>
              </w:rPr>
              <w:br w:type="textWrapping"/>
            </w:r>
            <w:r>
              <w:rPr>
                <w:rFonts w:hint="default" w:ascii="Times New Roman" w:hAnsi="Times New Roman" w:eastAsia="黑体" w:cs="Times New Roman"/>
                <w:i w:val="0"/>
                <w:iCs w:val="0"/>
                <w:color w:val="auto"/>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i w:val="0"/>
                <w:iCs w:val="0"/>
                <w:color w:val="auto"/>
                <w:sz w:val="24"/>
                <w:szCs w:val="24"/>
                <w:u w:val="none"/>
              </w:rPr>
            </w:pPr>
          </w:p>
        </w:tc>
        <w:tc>
          <w:tcPr>
            <w:tcW w:w="75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黑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i w:val="0"/>
                <w:iCs w:val="0"/>
                <w:color w:val="auto"/>
                <w:sz w:val="24"/>
                <w:szCs w:val="24"/>
                <w:u w:val="none"/>
              </w:rPr>
            </w:pPr>
          </w:p>
        </w:tc>
        <w:tc>
          <w:tcPr>
            <w:tcW w:w="75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黑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i w:val="0"/>
                <w:iCs w:val="0"/>
                <w:color w:val="auto"/>
                <w:sz w:val="24"/>
                <w:szCs w:val="24"/>
                <w:u w:val="none"/>
              </w:rPr>
            </w:pPr>
          </w:p>
        </w:tc>
        <w:tc>
          <w:tcPr>
            <w:tcW w:w="75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黑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i w:val="0"/>
                <w:iCs w:val="0"/>
                <w:color w:val="auto"/>
                <w:sz w:val="24"/>
                <w:szCs w:val="24"/>
                <w:u w:val="none"/>
              </w:rPr>
            </w:pPr>
          </w:p>
        </w:tc>
        <w:tc>
          <w:tcPr>
            <w:tcW w:w="75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黑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i w:val="0"/>
                <w:iCs w:val="0"/>
                <w:color w:val="auto"/>
                <w:sz w:val="24"/>
                <w:szCs w:val="24"/>
                <w:u w:val="none"/>
              </w:rPr>
            </w:pPr>
          </w:p>
        </w:tc>
        <w:tc>
          <w:tcPr>
            <w:tcW w:w="75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黑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省机关事务局</w:t>
            </w:r>
          </w:p>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意见</w:t>
            </w:r>
          </w:p>
        </w:tc>
        <w:tc>
          <w:tcPr>
            <w:tcW w:w="7534"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default" w:ascii="Times New Roman" w:hAnsi="Times New Roman" w:eastAsia="黑体" w:cs="Times New Roman"/>
                <w:i w:val="0"/>
                <w:iCs w:val="0"/>
                <w:color w:val="auto"/>
                <w:kern w:val="0"/>
                <w:sz w:val="24"/>
                <w:szCs w:val="24"/>
                <w:u w:val="none"/>
                <w:lang w:val="en-US" w:eastAsia="zh-CN" w:bidi="ar"/>
              </w:rPr>
            </w:pPr>
          </w:p>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p>
            <w:pPr>
              <w:pStyle w:val="2"/>
              <w:rPr>
                <w:rFonts w:hint="default" w:ascii="Times New Roman" w:hAnsi="Times New Roman" w:cs="Times New Roman"/>
                <w:color w:val="auto"/>
                <w:lang w:val="en-US" w:eastAsia="zh-CN"/>
              </w:rPr>
            </w:pPr>
          </w:p>
          <w:p>
            <w:pPr>
              <w:keepNext w:val="0"/>
              <w:keepLines w:val="0"/>
              <w:widowControl/>
              <w:suppressLineNumbers w:val="0"/>
              <w:spacing w:line="30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 xml:space="preserve">                 </w:t>
            </w:r>
            <w:r>
              <w:rPr>
                <w:rFonts w:hint="default" w:ascii="Times New Roman" w:hAnsi="Times New Roman" w:eastAsia="黑体" w:cs="Times New Roman"/>
                <w:i w:val="0"/>
                <w:iCs w:val="0"/>
                <w:color w:val="auto"/>
                <w:kern w:val="0"/>
                <w:sz w:val="24"/>
                <w:szCs w:val="24"/>
                <w:u w:val="none"/>
                <w:lang w:val="en-US" w:eastAsia="zh-CN" w:bidi="ar"/>
              </w:rPr>
              <w:br w:type="textWrapping"/>
            </w:r>
            <w:r>
              <w:rPr>
                <w:rFonts w:hint="default" w:ascii="Times New Roman" w:hAnsi="Times New Roman" w:eastAsia="黑体" w:cs="Times New Roman"/>
                <w:i w:val="0"/>
                <w:iCs w:val="0"/>
                <w:color w:val="auto"/>
                <w:kern w:val="0"/>
                <w:sz w:val="24"/>
                <w:szCs w:val="24"/>
                <w:u w:val="none"/>
                <w:lang w:val="en-US" w:eastAsia="zh-CN" w:bidi="ar"/>
              </w:rPr>
              <w:t xml:space="preserve">                         （单位盖章）</w:t>
            </w:r>
            <w:r>
              <w:rPr>
                <w:rFonts w:hint="default" w:ascii="Times New Roman" w:hAnsi="Times New Roman" w:eastAsia="黑体" w:cs="Times New Roman"/>
                <w:i w:val="0"/>
                <w:iCs w:val="0"/>
                <w:color w:val="auto"/>
                <w:kern w:val="0"/>
                <w:sz w:val="24"/>
                <w:szCs w:val="24"/>
                <w:u w:val="none"/>
                <w:lang w:val="en-US" w:eastAsia="zh-CN" w:bidi="ar"/>
              </w:rPr>
              <w:br w:type="textWrapping"/>
            </w:r>
            <w:r>
              <w:rPr>
                <w:rFonts w:hint="default" w:ascii="Times New Roman" w:hAnsi="Times New Roman" w:eastAsia="黑体" w:cs="Times New Roman"/>
                <w:i w:val="0"/>
                <w:iCs w:val="0"/>
                <w:color w:val="auto"/>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i w:val="0"/>
                <w:iCs w:val="0"/>
                <w:color w:val="auto"/>
                <w:sz w:val="24"/>
                <w:szCs w:val="24"/>
                <w:u w:val="none"/>
              </w:rPr>
            </w:pPr>
          </w:p>
        </w:tc>
        <w:tc>
          <w:tcPr>
            <w:tcW w:w="75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黑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1" w:hRule="atLeast"/>
          <w:jc w:val="center"/>
        </w:trPr>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both"/>
              <w:rPr>
                <w:rFonts w:hint="default" w:ascii="Times New Roman" w:hAnsi="Times New Roman" w:eastAsia="黑体" w:cs="Times New Roman"/>
                <w:i w:val="0"/>
                <w:iCs w:val="0"/>
                <w:color w:val="auto"/>
                <w:sz w:val="24"/>
                <w:szCs w:val="24"/>
                <w:u w:val="none"/>
              </w:rPr>
            </w:pPr>
          </w:p>
        </w:tc>
        <w:tc>
          <w:tcPr>
            <w:tcW w:w="75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黑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440" w:type="dxa"/>
            <w:gridSpan w:val="8"/>
            <w:tcBorders>
              <w:top w:val="nil"/>
              <w:left w:val="nil"/>
              <w:bottom w:val="nil"/>
              <w:right w:val="nil"/>
            </w:tcBorders>
            <w:noWrap w:val="0"/>
            <w:vAlign w:val="center"/>
          </w:tcPr>
          <w:p>
            <w:pPr>
              <w:keepNext w:val="0"/>
              <w:keepLines w:val="0"/>
              <w:widowControl/>
              <w:suppressLineNumbers w:val="0"/>
              <w:spacing w:line="300" w:lineRule="exact"/>
              <w:jc w:val="left"/>
              <w:textAlignment w:val="center"/>
              <w:rPr>
                <w:rStyle w:val="9"/>
                <w:rFonts w:hint="default" w:ascii="Times New Roman" w:hAnsi="Times New Roman" w:cs="Times New Roman"/>
                <w:color w:val="auto"/>
                <w:sz w:val="24"/>
                <w:szCs w:val="24"/>
                <w:lang w:val="en-US" w:eastAsia="zh-CN" w:bidi="ar"/>
              </w:rPr>
            </w:pPr>
            <w:r>
              <w:rPr>
                <w:rStyle w:val="9"/>
                <w:rFonts w:hint="default" w:ascii="Times New Roman" w:hAnsi="Times New Roman" w:cs="Times New Roman"/>
                <w:color w:val="auto"/>
                <w:sz w:val="24"/>
                <w:szCs w:val="24"/>
                <w:lang w:val="en-US" w:eastAsia="zh-CN" w:bidi="ar"/>
              </w:rPr>
              <w:t>填表说明：1.所有空白项都必须填写，没有具体数值可以填写“0”；</w:t>
            </w:r>
          </w:p>
          <w:p>
            <w:pPr>
              <w:keepNext w:val="0"/>
              <w:keepLines w:val="0"/>
              <w:widowControl/>
              <w:numPr>
                <w:ilvl w:val="0"/>
                <w:numId w:val="0"/>
              </w:numPr>
              <w:suppressLineNumbers w:val="0"/>
              <w:spacing w:line="300" w:lineRule="exact"/>
              <w:ind w:firstLine="1200" w:firstLineChars="500"/>
              <w:jc w:val="left"/>
              <w:textAlignment w:val="center"/>
              <w:rPr>
                <w:rStyle w:val="9"/>
                <w:rFonts w:hint="default" w:ascii="Times New Roman" w:hAnsi="Times New Roman" w:cs="Times New Roman"/>
                <w:color w:val="auto"/>
                <w:sz w:val="24"/>
                <w:szCs w:val="24"/>
                <w:lang w:val="en-US" w:eastAsia="zh-CN" w:bidi="ar"/>
              </w:rPr>
            </w:pPr>
            <w:r>
              <w:rPr>
                <w:rStyle w:val="9"/>
                <w:rFonts w:hint="eastAsia" w:ascii="Times New Roman" w:hAnsi="Times New Roman" w:cs="Times New Roman"/>
                <w:color w:val="auto"/>
                <w:sz w:val="24"/>
                <w:szCs w:val="24"/>
                <w:lang w:val="en-US" w:eastAsia="zh-CN" w:bidi="ar"/>
              </w:rPr>
              <w:t>2.</w:t>
            </w:r>
            <w:r>
              <w:rPr>
                <w:rStyle w:val="9"/>
                <w:rFonts w:hint="default" w:ascii="Times New Roman" w:hAnsi="Times New Roman" w:cs="Times New Roman"/>
                <w:color w:val="auto"/>
                <w:sz w:val="24"/>
                <w:szCs w:val="24"/>
                <w:lang w:val="en-US" w:eastAsia="zh-CN" w:bidi="ar"/>
              </w:rPr>
              <w:t>“绩效指标”每一个指标都必须填写1个及1个以上指标值（可增行，不可</w:t>
            </w:r>
          </w:p>
          <w:p>
            <w:pPr>
              <w:keepNext w:val="0"/>
              <w:keepLines w:val="0"/>
              <w:widowControl/>
              <w:numPr>
                <w:ilvl w:val="0"/>
                <w:numId w:val="0"/>
              </w:numPr>
              <w:suppressLineNumbers w:val="0"/>
              <w:spacing w:line="300" w:lineRule="exact"/>
              <w:ind w:firstLine="1440" w:firstLineChars="600"/>
              <w:jc w:val="left"/>
              <w:textAlignment w:val="center"/>
              <w:rPr>
                <w:rStyle w:val="9"/>
                <w:rFonts w:hint="default" w:ascii="Times New Roman" w:hAnsi="Times New Roman" w:cs="Times New Roman"/>
                <w:color w:val="auto"/>
                <w:sz w:val="24"/>
                <w:szCs w:val="24"/>
                <w:lang w:val="en-US" w:eastAsia="zh-CN" w:bidi="ar"/>
              </w:rPr>
            </w:pPr>
            <w:r>
              <w:rPr>
                <w:rStyle w:val="9"/>
                <w:rFonts w:hint="default" w:ascii="Times New Roman" w:hAnsi="Times New Roman" w:cs="Times New Roman"/>
                <w:color w:val="auto"/>
                <w:sz w:val="24"/>
                <w:szCs w:val="24"/>
                <w:lang w:val="en-US" w:eastAsia="zh-CN" w:bidi="ar"/>
              </w:rPr>
              <w:t>减行）；“指标值”填写标准为“≦具体指标数值、≧具体指标数值、=具体指</w:t>
            </w:r>
          </w:p>
          <w:p>
            <w:pPr>
              <w:keepNext w:val="0"/>
              <w:keepLines w:val="0"/>
              <w:widowControl/>
              <w:numPr>
                <w:ilvl w:val="0"/>
                <w:numId w:val="0"/>
              </w:numPr>
              <w:suppressLineNumbers w:val="0"/>
              <w:spacing w:line="300" w:lineRule="exact"/>
              <w:ind w:firstLine="1440" w:firstLineChars="600"/>
              <w:jc w:val="left"/>
              <w:textAlignment w:val="center"/>
              <w:rPr>
                <w:rStyle w:val="9"/>
                <w:rFonts w:hint="default" w:ascii="Times New Roman" w:hAnsi="Times New Roman" w:cs="Times New Roman"/>
                <w:color w:val="auto"/>
                <w:sz w:val="24"/>
                <w:szCs w:val="24"/>
                <w:lang w:val="en-US" w:eastAsia="zh-CN" w:bidi="ar"/>
              </w:rPr>
            </w:pPr>
            <w:r>
              <w:rPr>
                <w:rStyle w:val="9"/>
                <w:rFonts w:hint="default" w:ascii="Times New Roman" w:hAnsi="Times New Roman" w:cs="Times New Roman"/>
                <w:color w:val="auto"/>
                <w:sz w:val="24"/>
                <w:szCs w:val="24"/>
                <w:lang w:val="en-US" w:eastAsia="zh-CN" w:bidi="ar"/>
              </w:rPr>
              <w:t>标数值”</w:t>
            </w:r>
            <w:r>
              <w:rPr>
                <w:rStyle w:val="9"/>
                <w:rFonts w:hint="default" w:ascii="Times New Roman" w:hAnsi="Times New Roman" w:cs="Times New Roman"/>
                <w:color w:val="auto"/>
                <w:sz w:val="24"/>
                <w:szCs w:val="24"/>
                <w:lang w:val="en-US" w:eastAsia="zh-CN" w:bidi="ar"/>
              </w:rPr>
              <w:tab/>
            </w:r>
            <w:r>
              <w:rPr>
                <w:rStyle w:val="9"/>
                <w:rFonts w:hint="default" w:ascii="Times New Roman" w:hAnsi="Times New Roman" w:cs="Times New Roman"/>
                <w:color w:val="auto"/>
                <w:sz w:val="24"/>
                <w:szCs w:val="24"/>
                <w:lang w:val="en-US" w:eastAsia="zh-CN" w:bidi="ar"/>
              </w:rPr>
              <w:t xml:space="preserve"> </w:t>
            </w:r>
          </w:p>
          <w:p>
            <w:pPr>
              <w:keepNext w:val="0"/>
              <w:keepLines w:val="0"/>
              <w:widowControl/>
              <w:numPr>
                <w:ilvl w:val="0"/>
                <w:numId w:val="0"/>
              </w:numPr>
              <w:suppressLineNumbers w:val="0"/>
              <w:spacing w:line="300" w:lineRule="exact"/>
              <w:ind w:firstLine="1200" w:firstLineChars="500"/>
              <w:jc w:val="left"/>
              <w:textAlignment w:val="center"/>
              <w:rPr>
                <w:rFonts w:hint="default" w:ascii="Times New Roman" w:hAnsi="Times New Roman" w:eastAsia="仿宋" w:cs="Times New Roman"/>
                <w:i w:val="0"/>
                <w:iCs w:val="0"/>
                <w:color w:val="auto"/>
                <w:sz w:val="21"/>
                <w:szCs w:val="21"/>
                <w:u w:val="none"/>
              </w:rPr>
            </w:pPr>
            <w:r>
              <w:rPr>
                <w:rStyle w:val="9"/>
                <w:rFonts w:hint="eastAsia" w:ascii="Times New Roman" w:hAnsi="Times New Roman" w:cs="Times New Roman"/>
                <w:color w:val="auto"/>
                <w:sz w:val="24"/>
                <w:szCs w:val="24"/>
                <w:lang w:val="en-US" w:eastAsia="zh-CN" w:bidi="ar"/>
              </w:rPr>
              <w:t>3.</w:t>
            </w:r>
            <w:r>
              <w:rPr>
                <w:rStyle w:val="9"/>
                <w:rFonts w:hint="default" w:ascii="Times New Roman" w:hAnsi="Times New Roman" w:cs="Times New Roman"/>
                <w:color w:val="auto"/>
                <w:sz w:val="24"/>
                <w:szCs w:val="24"/>
                <w:lang w:val="en-US" w:eastAsia="zh-CN" w:bidi="ar"/>
              </w:rPr>
              <w:t>省直机关单位主管部门意见由本单位审核盖章，省属单位主管部门意见由省</w:t>
            </w:r>
          </w:p>
          <w:p>
            <w:pPr>
              <w:keepNext w:val="0"/>
              <w:keepLines w:val="0"/>
              <w:widowControl/>
              <w:numPr>
                <w:ilvl w:val="0"/>
                <w:numId w:val="0"/>
              </w:numPr>
              <w:suppressLineNumbers w:val="0"/>
              <w:spacing w:line="300" w:lineRule="exact"/>
              <w:ind w:leftChars="500" w:firstLine="240" w:firstLineChars="100"/>
              <w:jc w:val="left"/>
              <w:textAlignment w:val="center"/>
              <w:rPr>
                <w:rFonts w:hint="default" w:ascii="Times New Roman" w:hAnsi="Times New Roman" w:eastAsia="仿宋" w:cs="Times New Roman"/>
                <w:i w:val="0"/>
                <w:iCs w:val="0"/>
                <w:color w:val="auto"/>
                <w:sz w:val="21"/>
                <w:szCs w:val="21"/>
                <w:u w:val="none"/>
              </w:rPr>
            </w:pPr>
            <w:r>
              <w:rPr>
                <w:rStyle w:val="9"/>
                <w:rFonts w:hint="default" w:ascii="Times New Roman" w:hAnsi="Times New Roman" w:cs="Times New Roman"/>
                <w:color w:val="auto"/>
                <w:sz w:val="24"/>
                <w:szCs w:val="24"/>
                <w:lang w:val="en-US" w:eastAsia="zh-CN" w:bidi="ar"/>
              </w:rPr>
              <w:t>行政主管部门审核盖章；</w:t>
            </w:r>
            <w:r>
              <w:rPr>
                <w:rStyle w:val="9"/>
                <w:rFonts w:hint="default" w:ascii="Times New Roman" w:hAnsi="Times New Roman" w:cs="Times New Roman"/>
                <w:color w:val="auto"/>
                <w:sz w:val="24"/>
                <w:szCs w:val="24"/>
                <w:lang w:val="en-US" w:eastAsia="zh-CN" w:bidi="ar"/>
              </w:rPr>
              <w:br w:type="textWrapping"/>
            </w:r>
            <w:r>
              <w:rPr>
                <w:rStyle w:val="9"/>
                <w:rFonts w:hint="default" w:ascii="Times New Roman" w:hAnsi="Times New Roman" w:cs="Times New Roman"/>
                <w:color w:val="auto"/>
                <w:sz w:val="24"/>
                <w:szCs w:val="24"/>
                <w:lang w:val="en-US" w:eastAsia="zh-CN" w:bidi="ar"/>
              </w:rPr>
              <w:t xml:space="preserve"> 4.省机关事务局公共机构节能处联系电话：0851-86892250。</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贵州省公共机构节能减排专项资金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预算支出标准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黑体" w:cs="Times New Roman"/>
          <w:color w:val="auto"/>
          <w:sz w:val="32"/>
          <w:szCs w:val="32"/>
          <w:lang w:val="en-US" w:eastAsia="zh-CN"/>
        </w:rPr>
        <w:t>第一条</w:t>
      </w:r>
      <w:r>
        <w:rPr>
          <w:rFonts w:hint="default" w:ascii="Times New Roman" w:hAnsi="Times New Roman" w:eastAsia="仿宋_GB2312" w:cs="Times New Roman"/>
          <w:color w:val="auto"/>
          <w:sz w:val="32"/>
          <w:szCs w:val="32"/>
          <w:lang w:val="en-US" w:eastAsia="zh-CN"/>
        </w:rPr>
        <w:t xml:space="preserve"> 为</w:t>
      </w:r>
      <w:r>
        <w:rPr>
          <w:rFonts w:hint="eastAsia" w:ascii="仿宋_GB2312" w:hAnsi="仿宋_GB2312" w:eastAsia="仿宋_GB2312" w:cs="仿宋_GB2312"/>
          <w:color w:val="auto"/>
          <w:sz w:val="32"/>
          <w:szCs w:val="32"/>
          <w:lang w:val="en-US" w:eastAsia="zh-CN"/>
        </w:rPr>
        <w:t>深化贵州省公共机构节能减排专项资金部门预算管理，提升预算编制科学性和精准度，实现公共机构节能降碳工作提质增效，根据</w:t>
      </w:r>
      <w:r>
        <w:rPr>
          <w:rFonts w:hint="eastAsia" w:ascii="仿宋_GB2312" w:hAnsi="仿宋_GB2312" w:eastAsia="仿宋_GB2312" w:cs="仿宋_GB2312"/>
          <w:color w:val="auto"/>
          <w:kern w:val="0"/>
          <w:sz w:val="32"/>
          <w:szCs w:val="32"/>
          <w:lang w:bidi="ar-SA"/>
        </w:rPr>
        <w:t>《中华人民共和国预算法》</w:t>
      </w:r>
      <w:r>
        <w:rPr>
          <w:rFonts w:hint="eastAsia" w:ascii="仿宋_GB2312" w:hAnsi="仿宋_GB2312" w:eastAsia="仿宋_GB2312" w:cs="仿宋_GB2312"/>
          <w:color w:val="auto"/>
          <w:kern w:val="0"/>
          <w:sz w:val="32"/>
          <w:szCs w:val="32"/>
          <w:lang w:val="en-US" w:eastAsia="zh-CN" w:bidi="ar-SA"/>
        </w:rPr>
        <w:t>及其实施条例、</w:t>
      </w:r>
      <w:r>
        <w:rPr>
          <w:rFonts w:hint="eastAsia" w:ascii="仿宋_GB2312" w:hAnsi="仿宋_GB2312" w:eastAsia="仿宋_GB2312" w:cs="仿宋_GB2312"/>
          <w:color w:val="auto"/>
          <w:sz w:val="32"/>
          <w:szCs w:val="32"/>
          <w:lang w:val="en-US" w:eastAsia="zh-CN"/>
        </w:rPr>
        <w:t>《国务院关于进一步深化预算管理制度改革的意见》（国发〔2021〕5号）、《省人民政府关于进一步深化预算管理制度改革的实施意见》（黔府发〔2022〕3号）等文件，结合我省实际，现制定《贵州省公共机构节能减排专项资金预算支出标准》。</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shd w:val="clear" w:color="auto" w:fill="auto"/>
          <w:lang w:val="en-US" w:eastAsia="zh-CN" w:bidi="en-US"/>
        </w:rPr>
      </w:pPr>
      <w:r>
        <w:rPr>
          <w:rFonts w:hint="default" w:ascii="Times New Roman" w:hAnsi="Times New Roman" w:eastAsia="黑体" w:cs="Times New Roman"/>
          <w:b w:val="0"/>
          <w:bCs w:val="0"/>
          <w:color w:val="auto"/>
          <w:sz w:val="32"/>
          <w:szCs w:val="32"/>
          <w:lang w:val="en-US" w:eastAsia="zh-CN"/>
        </w:rPr>
        <w:t>第二条</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本标准适用范围为省级公共机构节能减排专项资金</w:t>
      </w:r>
      <w:r>
        <w:rPr>
          <w:rFonts w:hint="eastAsia" w:ascii="Times New Roman" w:hAnsi="Times New Roman" w:eastAsia="仿宋_GB2312" w:cs="Times New Roman"/>
          <w:color w:val="auto"/>
          <w:sz w:val="32"/>
          <w:szCs w:val="32"/>
          <w:lang w:val="en-US" w:eastAsia="zh-CN"/>
        </w:rPr>
        <w:t>（以下简称“专项资金”）</w:t>
      </w:r>
      <w:r>
        <w:rPr>
          <w:rFonts w:hint="default" w:ascii="Times New Roman" w:hAnsi="Times New Roman" w:eastAsia="仿宋_GB2312" w:cs="Times New Roman"/>
          <w:color w:val="auto"/>
          <w:sz w:val="32"/>
          <w:szCs w:val="32"/>
          <w:lang w:val="en-US" w:eastAsia="zh-CN"/>
        </w:rPr>
        <w:t>。其中，省级公共机构指全部或者部分使用财政性资金的省直单位及其下属单位。</w:t>
      </w:r>
    </w:p>
    <w:p>
      <w:pPr>
        <w:pStyle w:val="5"/>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w w:val="100"/>
          <w:position w:val="0"/>
          <w:sz w:val="32"/>
          <w:szCs w:val="32"/>
          <w:highlight w:val="none"/>
          <w:shd w:val="clear" w:color="auto" w:fill="auto"/>
          <w:lang w:val="en-US" w:eastAsia="zh-CN" w:bidi="en-US"/>
        </w:rPr>
      </w:pPr>
      <w:r>
        <w:rPr>
          <w:rFonts w:hint="default" w:ascii="Times New Roman" w:hAnsi="Times New Roman" w:eastAsia="黑体" w:cs="Times New Roman"/>
          <w:b w:val="0"/>
          <w:bCs w:val="0"/>
          <w:color w:val="auto"/>
          <w:spacing w:val="0"/>
          <w:w w:val="100"/>
          <w:position w:val="0"/>
          <w:sz w:val="32"/>
          <w:szCs w:val="32"/>
          <w:highlight w:val="none"/>
          <w:shd w:val="clear" w:color="auto" w:fill="auto"/>
          <w:lang w:val="en-US" w:eastAsia="zh-CN" w:bidi="en-US"/>
        </w:rPr>
        <w:t xml:space="preserve">第三条 </w:t>
      </w:r>
      <w:r>
        <w:rPr>
          <w:rFonts w:hint="default" w:ascii="Times New Roman" w:hAnsi="Times New Roman" w:eastAsia="仿宋_GB2312" w:cs="Times New Roman"/>
          <w:color w:val="auto"/>
          <w:spacing w:val="0"/>
          <w:w w:val="100"/>
          <w:position w:val="0"/>
          <w:sz w:val="32"/>
          <w:szCs w:val="32"/>
          <w:highlight w:val="none"/>
          <w:shd w:val="clear" w:color="auto" w:fill="auto"/>
          <w:lang w:val="en-US" w:eastAsia="zh-CN" w:bidi="en-US"/>
        </w:rPr>
        <w:t>本标准由预算费用标准及预算编制规范组成。</w:t>
      </w:r>
    </w:p>
    <w:p>
      <w:pPr>
        <w:pStyle w:val="5"/>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w w:val="100"/>
          <w:position w:val="0"/>
          <w:sz w:val="32"/>
          <w:szCs w:val="32"/>
          <w:highlight w:val="none"/>
          <w:shd w:val="clear" w:color="auto" w:fill="auto"/>
          <w:lang w:val="en-US" w:eastAsia="zh-CN" w:bidi="en-US"/>
        </w:rPr>
      </w:pPr>
      <w:r>
        <w:rPr>
          <w:rFonts w:hint="default" w:ascii="Times New Roman" w:hAnsi="Times New Roman" w:eastAsia="黑体" w:cs="Times New Roman"/>
          <w:b w:val="0"/>
          <w:bCs w:val="0"/>
          <w:color w:val="auto"/>
          <w:spacing w:val="0"/>
          <w:w w:val="100"/>
          <w:position w:val="0"/>
          <w:sz w:val="32"/>
          <w:szCs w:val="32"/>
          <w:highlight w:val="none"/>
          <w:shd w:val="clear" w:color="auto" w:fill="auto"/>
          <w:lang w:val="en-US" w:eastAsia="zh-CN" w:bidi="en-US"/>
        </w:rPr>
        <w:t xml:space="preserve">第四条 </w:t>
      </w:r>
      <w:r>
        <w:rPr>
          <w:rFonts w:hint="default" w:ascii="Times New Roman" w:hAnsi="Times New Roman" w:eastAsia="仿宋_GB2312" w:cs="Times New Roman"/>
          <w:color w:val="auto"/>
          <w:spacing w:val="0"/>
          <w:w w:val="100"/>
          <w:position w:val="0"/>
          <w:sz w:val="32"/>
          <w:szCs w:val="32"/>
          <w:highlight w:val="none"/>
          <w:shd w:val="clear" w:color="auto" w:fill="auto"/>
          <w:lang w:val="en-US" w:eastAsia="zh-CN" w:bidi="en-US"/>
        </w:rPr>
        <w:t>申请项目应符合相关法律法规和产业政策，同时满足</w:t>
      </w:r>
      <w:r>
        <w:rPr>
          <w:rFonts w:hint="eastAsia" w:ascii="Times New Roman" w:hAnsi="Times New Roman" w:eastAsia="仿宋_GB2312" w:cs="Times New Roman"/>
          <w:color w:val="auto"/>
          <w:sz w:val="32"/>
          <w:szCs w:val="32"/>
          <w:shd w:val="clear" w:color="auto" w:fill="auto"/>
          <w:lang w:eastAsia="zh-CN"/>
        </w:rPr>
        <w:t>绿色、低碳、</w:t>
      </w:r>
      <w:r>
        <w:rPr>
          <w:rFonts w:hint="default" w:ascii="Times New Roman" w:hAnsi="Times New Roman" w:eastAsia="仿宋_GB2312" w:cs="Times New Roman"/>
          <w:color w:val="auto"/>
          <w:spacing w:val="0"/>
          <w:w w:val="100"/>
          <w:position w:val="0"/>
          <w:sz w:val="32"/>
          <w:szCs w:val="32"/>
          <w:highlight w:val="none"/>
          <w:shd w:val="clear" w:color="auto" w:fill="auto"/>
          <w:lang w:val="en-US" w:eastAsia="zh-CN" w:bidi="en-US"/>
        </w:rPr>
        <w:t>经济、安全等要求，并达到一定标准的年节能降碳量。省级财政其他专项资金已支持的项目，原则上不再重复安排。</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lang w:val="en-US" w:eastAsia="zh-CN"/>
        </w:rPr>
        <w:t>第五条</w:t>
      </w: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专项资金支持</w:t>
      </w:r>
      <w:r>
        <w:rPr>
          <w:rFonts w:hint="default" w:ascii="Times New Roman" w:hAnsi="Times New Roman" w:eastAsia="仿宋_GB2312" w:cs="Times New Roman"/>
          <w:color w:val="auto"/>
          <w:sz w:val="32"/>
          <w:szCs w:val="32"/>
          <w:lang w:val="en-US" w:eastAsia="zh-CN"/>
        </w:rPr>
        <w:t>范围涵盖</w:t>
      </w:r>
      <w:r>
        <w:rPr>
          <w:rFonts w:hint="default" w:ascii="Times New Roman" w:hAnsi="Times New Roman" w:eastAsia="仿宋_GB2312" w:cs="Times New Roman"/>
          <w:color w:val="auto"/>
          <w:sz w:val="32"/>
          <w:szCs w:val="32"/>
        </w:rPr>
        <w:t>省级公共机构节能技术改造，节能新技术、新产品推广示范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kern w:val="2"/>
          <w:sz w:val="32"/>
          <w:szCs w:val="32"/>
          <w:shd w:val="clear" w:color="auto" w:fill="auto"/>
          <w:lang w:val="en-US" w:eastAsia="zh-CN" w:bidi="ar-SA"/>
        </w:rPr>
        <w:t>以</w:t>
      </w:r>
      <w:r>
        <w:rPr>
          <w:rFonts w:hint="default" w:ascii="Times New Roman" w:hAnsi="Times New Roman" w:eastAsia="仿宋_GB2312" w:cs="Times New Roman"/>
          <w:color w:val="auto"/>
          <w:sz w:val="32"/>
          <w:szCs w:val="32"/>
        </w:rPr>
        <w:t>及其他重点公共机构节能</w:t>
      </w:r>
      <w:r>
        <w:rPr>
          <w:rFonts w:hint="eastAsia"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rPr>
        <w:t>工作配套</w:t>
      </w: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等。重点包括：</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（一）能源资源计量器具设备更新、改造；</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（二）能耗监测系统建设；</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（三）变、配电系统节能改造、高效照明产品的改造与更换；</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（四）空调系统节能改造；</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（五）节水和水资源综合利用；</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（六）新能源和可再生能源推广应用；</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（七）既有建筑围护结构节能改造；</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（八）能源审计；</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（九）垃圾分类回收处理；</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（十）节约型公共机构、能效领跑者、生活垃圾分类和资源循环利用等节能低碳示范点打造；</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（十一）其他符合条件的节能改造或重点公共机构节能管理工作配套项目。</w:t>
      </w:r>
    </w:p>
    <w:p>
      <w:pPr>
        <w:keepNext w:val="0"/>
        <w:keepLines w:val="0"/>
        <w:pageBreakBefore w:val="0"/>
        <w:widowControl w:val="0"/>
        <w:numPr>
          <w:ilvl w:val="0"/>
          <w:numId w:val="0"/>
        </w:numPr>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专项资金</w:t>
      </w:r>
      <w:r>
        <w:rPr>
          <w:rFonts w:hint="default" w:ascii="Times New Roman" w:hAnsi="Times New Roman" w:eastAsia="仿宋_GB2312" w:cs="Times New Roman"/>
          <w:color w:val="auto"/>
          <w:sz w:val="32"/>
          <w:szCs w:val="32"/>
          <w:lang w:val="en-US" w:eastAsia="zh-CN"/>
        </w:rPr>
        <w:t>严禁用于平衡预算、偿还债务、支付利息、支付罚款、对外投资、发放人员津补贴和国家规定禁止列支的其他支出。</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default" w:ascii="Times New Roman" w:hAnsi="Times New Roman" w:eastAsia="黑体" w:cs="Times New Roman"/>
          <w:color w:val="auto"/>
          <w:sz w:val="32"/>
          <w:szCs w:val="32"/>
          <w:lang w:val="en-US" w:eastAsia="zh-CN"/>
        </w:rPr>
        <w:t xml:space="preserve">第六条 </w:t>
      </w:r>
      <w:r>
        <w:rPr>
          <w:rFonts w:hint="eastAsia" w:ascii="仿宋_GB2312" w:hAnsi="仿宋_GB2312" w:eastAsia="仿宋_GB2312" w:cs="仿宋_GB2312"/>
          <w:b w:val="0"/>
          <w:bCs w:val="0"/>
          <w:color w:val="auto"/>
          <w:sz w:val="32"/>
          <w:szCs w:val="32"/>
          <w:highlight w:val="none"/>
          <w:lang w:val="en-US" w:eastAsia="zh-CN"/>
        </w:rPr>
        <w:t>参照专家评审确认的公共机构节能减排项目预算金额，统筹考虑全年工作安排和</w:t>
      </w:r>
      <w:r>
        <w:rPr>
          <w:rFonts w:hint="eastAsia" w:ascii="仿宋_GB2312" w:hAnsi="仿宋_GB2312" w:eastAsia="仿宋_GB2312" w:cs="仿宋_GB2312"/>
          <w:b w:val="0"/>
          <w:bCs w:val="0"/>
          <w:color w:val="auto"/>
          <w:spacing w:val="0"/>
          <w:sz w:val="32"/>
          <w:szCs w:val="32"/>
          <w:highlight w:val="none"/>
          <w:lang w:val="en-US" w:eastAsia="zh-CN"/>
        </w:rPr>
        <w:t>年度专项资金补助项目申报情况</w:t>
      </w:r>
      <w:r>
        <w:rPr>
          <w:rFonts w:hint="eastAsia" w:ascii="仿宋_GB2312" w:hAnsi="仿宋_GB2312" w:eastAsia="仿宋_GB2312" w:cs="仿宋_GB2312"/>
          <w:b w:val="0"/>
          <w:bCs w:val="0"/>
          <w:color w:val="auto"/>
          <w:sz w:val="32"/>
          <w:szCs w:val="32"/>
          <w:highlight w:val="none"/>
          <w:lang w:val="en-US" w:eastAsia="zh-CN"/>
        </w:rPr>
        <w:t>，公共机构节能减排项目补助金额支出标准如下（经专家评审，若申报项目存在虚增投资额，且虚增投资</w:t>
      </w:r>
      <w:r>
        <w:rPr>
          <w:rFonts w:hint="eastAsia" w:ascii="仿宋_GB2312" w:hAnsi="仿宋_GB2312" w:eastAsia="仿宋_GB2312" w:cs="仿宋_GB2312"/>
          <w:b w:val="0"/>
          <w:bCs w:val="0"/>
          <w:color w:val="auto"/>
          <w:spacing w:val="0"/>
          <w:sz w:val="32"/>
          <w:szCs w:val="32"/>
          <w:highlight w:val="none"/>
          <w:lang w:val="en-US" w:eastAsia="zh-CN"/>
        </w:rPr>
        <w:t>部分金额占比超过20%的，将取消当年度补助资格）：</w:t>
      </w:r>
    </w:p>
    <w:p>
      <w:pPr>
        <w:keepNext w:val="0"/>
        <w:keepLines w:val="0"/>
        <w:pageBreakBefore w:val="0"/>
        <w:widowControl w:val="0"/>
        <w:numPr>
          <w:ilvl w:val="0"/>
          <w:numId w:val="0"/>
        </w:numPr>
        <w:shd w:val="clear" w:color="auto" w:fill="auto"/>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 w:val="0"/>
          <w:bCs w:val="0"/>
          <w:color w:val="auto"/>
          <w:spacing w:val="0"/>
          <w:sz w:val="32"/>
          <w:szCs w:val="32"/>
          <w:highlight w:val="none"/>
          <w:lang w:val="en-US" w:eastAsia="zh-CN"/>
        </w:rPr>
        <w:t>全部使用财政性资金的省级公共机构申请专项资金时，项目投资额小于（含）50万元的，</w:t>
      </w:r>
      <w:r>
        <w:rPr>
          <w:rFonts w:hint="eastAsia" w:ascii="仿宋_GB2312" w:hAnsi="仿宋_GB2312" w:eastAsia="仿宋_GB2312" w:cs="仿宋_GB2312"/>
          <w:b w:val="0"/>
          <w:bCs w:val="0"/>
          <w:color w:val="auto"/>
          <w:sz w:val="32"/>
          <w:szCs w:val="32"/>
          <w:highlight w:val="none"/>
          <w:lang w:val="en-US" w:eastAsia="zh-CN"/>
        </w:rPr>
        <w:t>参照专家评审预算金额原则上</w:t>
      </w:r>
      <w:r>
        <w:rPr>
          <w:rFonts w:hint="eastAsia" w:ascii="仿宋_GB2312" w:hAnsi="仿宋_GB2312" w:eastAsia="仿宋_GB2312" w:cs="仿宋_GB2312"/>
          <w:b w:val="0"/>
          <w:bCs w:val="0"/>
          <w:color w:val="auto"/>
          <w:spacing w:val="0"/>
          <w:sz w:val="32"/>
          <w:szCs w:val="32"/>
          <w:highlight w:val="none"/>
          <w:lang w:val="en-US" w:eastAsia="zh-CN"/>
        </w:rPr>
        <w:t>按不高于80%的标准进行补助；项目投资额大于50万元</w:t>
      </w:r>
      <w:r>
        <w:rPr>
          <w:rFonts w:hint="default" w:ascii="Times New Roman" w:hAnsi="Times New Roman" w:eastAsia="仿宋_GB2312" w:cs="Times New Roman"/>
          <w:b w:val="0"/>
          <w:bCs w:val="0"/>
          <w:color w:val="auto"/>
          <w:spacing w:val="0"/>
          <w:sz w:val="32"/>
          <w:szCs w:val="32"/>
          <w:highlight w:val="none"/>
          <w:lang w:val="en-US" w:eastAsia="zh-CN"/>
        </w:rPr>
        <w:t>的，由省机关事务局结合专家评审意见、当年专项资金补助项目申报情况和专项资金预算总金额统筹安排</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shd w:val="clear" w:color="auto" w:fill="auto"/>
        <w:tabs>
          <w:tab w:val="left" w:pos="0"/>
        </w:tabs>
        <w:kinsoku/>
        <w:overflowPunct/>
        <w:topLinePunct w:val="0"/>
        <w:autoSpaceDE/>
        <w:autoSpaceDN/>
        <w:bidi w:val="0"/>
        <w:adjustRightInd w:val="0"/>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highlight w:val="none"/>
          <w:lang w:val="en-US" w:eastAsia="zh-CN"/>
        </w:rPr>
        <w:t>部分使用财政性资金的</w:t>
      </w:r>
      <w:r>
        <w:rPr>
          <w:rFonts w:hint="eastAsia" w:ascii="Times New Roman" w:hAnsi="Times New Roman" w:eastAsia="仿宋_GB2312" w:cs="Times New Roman"/>
          <w:color w:val="auto"/>
          <w:sz w:val="32"/>
          <w:szCs w:val="32"/>
          <w:highlight w:val="none"/>
          <w:lang w:val="en-US" w:eastAsia="zh-CN"/>
        </w:rPr>
        <w:t>省级公共机构</w:t>
      </w:r>
      <w:r>
        <w:rPr>
          <w:rFonts w:hint="default" w:ascii="Times New Roman" w:hAnsi="Times New Roman" w:eastAsia="仿宋_GB2312" w:cs="Times New Roman"/>
          <w:color w:val="auto"/>
          <w:sz w:val="32"/>
          <w:szCs w:val="32"/>
          <w:highlight w:val="none"/>
          <w:lang w:val="en-US" w:eastAsia="zh-CN"/>
        </w:rPr>
        <w:t>申请专项资金时，</w:t>
      </w:r>
      <w:r>
        <w:rPr>
          <w:rFonts w:hint="default" w:ascii="Times New Roman" w:hAnsi="Times New Roman" w:eastAsia="仿宋_GB2312" w:cs="Times New Roman"/>
          <w:b w:val="0"/>
          <w:bCs w:val="0"/>
          <w:color w:val="auto"/>
          <w:sz w:val="32"/>
          <w:szCs w:val="32"/>
          <w:highlight w:val="none"/>
          <w:lang w:val="en-US" w:eastAsia="zh-CN"/>
        </w:rPr>
        <w:t>参照专家评审预算金额原则上按以下比例</w:t>
      </w:r>
      <w:r>
        <w:rPr>
          <w:rFonts w:hint="default" w:ascii="Times New Roman" w:hAnsi="Times New Roman" w:eastAsia="仿宋_GB2312" w:cs="Times New Roman"/>
          <w:color w:val="auto"/>
          <w:sz w:val="32"/>
          <w:szCs w:val="32"/>
          <w:highlight w:val="none"/>
          <w:lang w:val="en-US" w:eastAsia="zh-CN"/>
        </w:rPr>
        <w:t>进行补助：</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3"/>
        <w:gridCol w:w="2032"/>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序号</w:t>
            </w:r>
          </w:p>
        </w:tc>
        <w:tc>
          <w:tcPr>
            <w:tcW w:w="421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申请预算金额</w:t>
            </w:r>
          </w:p>
        </w:tc>
        <w:tc>
          <w:tcPr>
            <w:tcW w:w="2032"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参考补助比例</w:t>
            </w:r>
          </w:p>
        </w:tc>
        <w:tc>
          <w:tcPr>
            <w:tcW w:w="1874"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黑体" w:cs="Times New Roman"/>
                <w:b w:val="0"/>
                <w:bCs w:val="0"/>
                <w:color w:val="auto"/>
                <w:sz w:val="28"/>
                <w:szCs w:val="28"/>
                <w:highlight w:val="none"/>
                <w:vertAlign w:val="baseline"/>
                <w:lang w:val="en-US" w:eastAsia="zh-CN"/>
              </w:rPr>
            </w:pPr>
            <w:r>
              <w:rPr>
                <w:rFonts w:hint="default" w:ascii="Times New Roman" w:hAnsi="Times New Roman" w:eastAsia="黑体" w:cs="Times New Roman"/>
                <w:b w:val="0"/>
                <w:bCs w:val="0"/>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宋体" w:cs="Times New Roman"/>
                <w:b w:val="0"/>
                <w:bCs w:val="0"/>
                <w:color w:val="auto"/>
                <w:sz w:val="28"/>
                <w:szCs w:val="28"/>
                <w:highlight w:val="none"/>
                <w:vertAlign w:val="baseline"/>
                <w:lang w:val="en-US" w:eastAsia="zh-CN"/>
              </w:rPr>
            </w:pPr>
            <w:r>
              <w:rPr>
                <w:rFonts w:hint="default" w:ascii="Times New Roman" w:hAnsi="Times New Roman" w:eastAsia="宋体" w:cs="Times New Roman"/>
                <w:b w:val="0"/>
                <w:bCs w:val="0"/>
                <w:color w:val="auto"/>
                <w:sz w:val="28"/>
                <w:szCs w:val="28"/>
                <w:highlight w:val="none"/>
                <w:vertAlign w:val="baseline"/>
                <w:lang w:val="en-US" w:eastAsia="zh-CN"/>
              </w:rPr>
              <w:t>1</w:t>
            </w:r>
          </w:p>
        </w:tc>
        <w:tc>
          <w:tcPr>
            <w:tcW w:w="421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宋体" w:cs="Times New Roman"/>
                <w:b w:val="0"/>
                <w:bCs w:val="0"/>
                <w:color w:val="auto"/>
                <w:sz w:val="28"/>
                <w:szCs w:val="28"/>
                <w:highlight w:val="none"/>
                <w:vertAlign w:val="baseline"/>
                <w:lang w:val="en-US" w:eastAsia="zh-CN"/>
              </w:rPr>
            </w:pPr>
            <w:r>
              <w:rPr>
                <w:rFonts w:hint="default" w:ascii="Times New Roman" w:hAnsi="Times New Roman" w:eastAsia="宋体" w:cs="Times New Roman"/>
                <w:b w:val="0"/>
                <w:bCs w:val="0"/>
                <w:color w:val="auto"/>
                <w:sz w:val="28"/>
                <w:szCs w:val="28"/>
                <w:highlight w:val="none"/>
                <w:vertAlign w:val="baseline"/>
                <w:lang w:val="en-US" w:eastAsia="zh-CN"/>
              </w:rPr>
              <w:t>0＜项目投资额≤30万元</w:t>
            </w:r>
          </w:p>
        </w:tc>
        <w:tc>
          <w:tcPr>
            <w:tcW w:w="2032"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宋体" w:cs="Times New Roman"/>
                <w:b w:val="0"/>
                <w:bCs w:val="0"/>
                <w:color w:val="auto"/>
                <w:sz w:val="28"/>
                <w:szCs w:val="28"/>
                <w:highlight w:val="none"/>
                <w:vertAlign w:val="baseline"/>
                <w:lang w:val="en-US" w:eastAsia="zh-CN"/>
              </w:rPr>
            </w:pPr>
            <w:r>
              <w:rPr>
                <w:rFonts w:hint="default" w:ascii="Times New Roman" w:hAnsi="Times New Roman" w:eastAsia="宋体" w:cs="Times New Roman"/>
                <w:b w:val="0"/>
                <w:bCs w:val="0"/>
                <w:color w:val="auto"/>
                <w:sz w:val="28"/>
                <w:szCs w:val="28"/>
                <w:highlight w:val="none"/>
                <w:vertAlign w:val="baseline"/>
                <w:lang w:val="en-US" w:eastAsia="zh-CN"/>
              </w:rPr>
              <w:t>80%</w:t>
            </w:r>
          </w:p>
        </w:tc>
        <w:tc>
          <w:tcPr>
            <w:tcW w:w="1874" w:type="dxa"/>
            <w:vMerge w:val="restar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cs="Times New Roman"/>
                <w:b w:val="0"/>
                <w:bCs w:val="0"/>
                <w:color w:val="auto"/>
                <w:sz w:val="28"/>
                <w:szCs w:val="28"/>
                <w:highlight w:val="none"/>
                <w:vertAlign w:val="baseline"/>
                <w:lang w:val="en-US" w:eastAsia="zh-CN"/>
              </w:rPr>
            </w:pPr>
            <w:r>
              <w:rPr>
                <w:rFonts w:hint="default" w:ascii="Times New Roman" w:hAnsi="Times New Roman" w:cs="Times New Roman"/>
                <w:b w:val="0"/>
                <w:bCs w:val="0"/>
                <w:color w:val="auto"/>
                <w:sz w:val="28"/>
                <w:szCs w:val="28"/>
                <w:highlight w:val="none"/>
                <w:vertAlign w:val="baseline"/>
                <w:lang w:val="en-US" w:eastAsia="zh-CN"/>
              </w:rPr>
              <w:t>单个项目总补助金额不高于40万元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宋体" w:cs="Times New Roman"/>
                <w:b w:val="0"/>
                <w:bCs w:val="0"/>
                <w:color w:val="auto"/>
                <w:sz w:val="28"/>
                <w:szCs w:val="28"/>
                <w:highlight w:val="none"/>
                <w:vertAlign w:val="baseline"/>
                <w:lang w:val="en-US" w:eastAsia="zh-CN"/>
              </w:rPr>
            </w:pPr>
            <w:r>
              <w:rPr>
                <w:rFonts w:hint="default" w:ascii="Times New Roman" w:hAnsi="Times New Roman" w:eastAsia="宋体" w:cs="Times New Roman"/>
                <w:b w:val="0"/>
                <w:bCs w:val="0"/>
                <w:color w:val="auto"/>
                <w:sz w:val="28"/>
                <w:szCs w:val="28"/>
                <w:highlight w:val="none"/>
                <w:vertAlign w:val="baseline"/>
                <w:lang w:val="en-US" w:eastAsia="zh-CN"/>
              </w:rPr>
              <w:t>2</w:t>
            </w:r>
          </w:p>
        </w:tc>
        <w:tc>
          <w:tcPr>
            <w:tcW w:w="421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宋体" w:cs="Times New Roman"/>
                <w:b w:val="0"/>
                <w:bCs w:val="0"/>
                <w:color w:val="auto"/>
                <w:sz w:val="28"/>
                <w:szCs w:val="28"/>
                <w:highlight w:val="none"/>
                <w:vertAlign w:val="baseline"/>
                <w:lang w:val="en-US" w:eastAsia="zh-CN"/>
              </w:rPr>
            </w:pPr>
            <w:r>
              <w:rPr>
                <w:rFonts w:hint="default" w:ascii="Times New Roman" w:hAnsi="Times New Roman" w:eastAsia="宋体" w:cs="Times New Roman"/>
                <w:b w:val="0"/>
                <w:bCs w:val="0"/>
                <w:color w:val="auto"/>
                <w:sz w:val="28"/>
                <w:szCs w:val="28"/>
                <w:highlight w:val="none"/>
                <w:vertAlign w:val="baseline"/>
                <w:lang w:val="en-US" w:eastAsia="zh-CN"/>
              </w:rPr>
              <w:t>30万元＜项目投资额≤100万元</w:t>
            </w:r>
          </w:p>
        </w:tc>
        <w:tc>
          <w:tcPr>
            <w:tcW w:w="2032"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宋体" w:cs="Times New Roman"/>
                <w:b w:val="0"/>
                <w:bCs w:val="0"/>
                <w:color w:val="auto"/>
                <w:sz w:val="28"/>
                <w:szCs w:val="28"/>
                <w:highlight w:val="none"/>
                <w:vertAlign w:val="baseline"/>
                <w:lang w:val="en-US" w:eastAsia="zh-CN"/>
              </w:rPr>
            </w:pPr>
            <w:r>
              <w:rPr>
                <w:rFonts w:hint="default" w:ascii="Times New Roman" w:hAnsi="Times New Roman" w:eastAsia="宋体" w:cs="Times New Roman"/>
                <w:b w:val="0"/>
                <w:bCs w:val="0"/>
                <w:color w:val="auto"/>
                <w:sz w:val="28"/>
                <w:szCs w:val="28"/>
                <w:highlight w:val="none"/>
                <w:vertAlign w:val="baseline"/>
                <w:lang w:val="en-US" w:eastAsia="zh-CN"/>
              </w:rPr>
              <w:t>40%</w:t>
            </w:r>
          </w:p>
        </w:tc>
        <w:tc>
          <w:tcPr>
            <w:tcW w:w="1874" w:type="dxa"/>
            <w:vMerge w:val="continue"/>
            <w:noWrap w:val="0"/>
            <w:vAlign w:val="top"/>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cs="Times New Roman"/>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宋体" w:cs="Times New Roman"/>
                <w:b w:val="0"/>
                <w:bCs w:val="0"/>
                <w:color w:val="auto"/>
                <w:sz w:val="28"/>
                <w:szCs w:val="28"/>
                <w:highlight w:val="none"/>
                <w:vertAlign w:val="baseline"/>
                <w:lang w:val="en-US" w:eastAsia="zh-CN"/>
              </w:rPr>
            </w:pPr>
            <w:r>
              <w:rPr>
                <w:rFonts w:hint="default" w:ascii="Times New Roman" w:hAnsi="Times New Roman" w:eastAsia="宋体" w:cs="Times New Roman"/>
                <w:b w:val="0"/>
                <w:bCs w:val="0"/>
                <w:color w:val="auto"/>
                <w:sz w:val="28"/>
                <w:szCs w:val="28"/>
                <w:highlight w:val="none"/>
                <w:vertAlign w:val="baseline"/>
                <w:lang w:val="en-US" w:eastAsia="zh-CN"/>
              </w:rPr>
              <w:t>3</w:t>
            </w:r>
          </w:p>
        </w:tc>
        <w:tc>
          <w:tcPr>
            <w:tcW w:w="421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宋体" w:cs="Times New Roman"/>
                <w:b w:val="0"/>
                <w:bCs w:val="0"/>
                <w:color w:val="auto"/>
                <w:sz w:val="28"/>
                <w:szCs w:val="28"/>
                <w:highlight w:val="none"/>
                <w:vertAlign w:val="baseline"/>
                <w:lang w:val="en-US" w:eastAsia="zh-CN"/>
              </w:rPr>
            </w:pPr>
            <w:r>
              <w:rPr>
                <w:rFonts w:hint="default" w:ascii="Times New Roman" w:hAnsi="Times New Roman" w:eastAsia="宋体" w:cs="Times New Roman"/>
                <w:b w:val="0"/>
                <w:bCs w:val="0"/>
                <w:color w:val="auto"/>
                <w:sz w:val="28"/>
                <w:szCs w:val="28"/>
                <w:highlight w:val="none"/>
                <w:vertAlign w:val="baseline"/>
                <w:lang w:val="en-US" w:eastAsia="zh-CN"/>
              </w:rPr>
              <w:t>100万元＜项目投资额</w:t>
            </w:r>
          </w:p>
        </w:tc>
        <w:tc>
          <w:tcPr>
            <w:tcW w:w="2032"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宋体" w:cs="Times New Roman"/>
                <w:b w:val="0"/>
                <w:bCs w:val="0"/>
                <w:color w:val="auto"/>
                <w:sz w:val="28"/>
                <w:szCs w:val="28"/>
                <w:highlight w:val="none"/>
                <w:vertAlign w:val="baseline"/>
                <w:lang w:val="en-US" w:eastAsia="zh-CN"/>
              </w:rPr>
            </w:pPr>
            <w:r>
              <w:rPr>
                <w:rFonts w:hint="default" w:ascii="Times New Roman" w:hAnsi="Times New Roman" w:eastAsia="宋体" w:cs="Times New Roman"/>
                <w:b w:val="0"/>
                <w:bCs w:val="0"/>
                <w:color w:val="auto"/>
                <w:sz w:val="28"/>
                <w:szCs w:val="28"/>
                <w:highlight w:val="none"/>
                <w:vertAlign w:val="baseline"/>
                <w:lang w:val="en-US" w:eastAsia="zh-CN"/>
              </w:rPr>
              <w:t>30%</w:t>
            </w:r>
          </w:p>
        </w:tc>
        <w:tc>
          <w:tcPr>
            <w:tcW w:w="1874" w:type="dxa"/>
            <w:vMerge w:val="continue"/>
            <w:noWrap w:val="0"/>
            <w:vAlign w:val="top"/>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cs="Times New Roman"/>
                <w:b w:val="0"/>
                <w:bCs w:val="0"/>
                <w:color w:val="auto"/>
                <w:sz w:val="28"/>
                <w:szCs w:val="28"/>
                <w:highlight w:val="none"/>
                <w:vertAlign w:val="baseline"/>
                <w:lang w:val="en-US" w:eastAsia="zh-CN"/>
              </w:rPr>
            </w:pP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bidi="ar-SA"/>
        </w:rPr>
        <w:t xml:space="preserve">第七条 </w:t>
      </w:r>
      <w:r>
        <w:rPr>
          <w:rFonts w:hint="default" w:ascii="Times New Roman" w:hAnsi="Times New Roman" w:eastAsia="仿宋_GB2312" w:cs="Times New Roman"/>
          <w:color w:val="auto"/>
          <w:sz w:val="32"/>
          <w:szCs w:val="32"/>
          <w:highlight w:val="none"/>
          <w:lang w:val="en-US" w:eastAsia="zh-CN"/>
        </w:rPr>
        <w:t>本标准是省级公共机构编制预算和财政主管部门审核预算的依据，有关支出标准为资金测算最高限定标准，不是编制项目预算时必须达到的标准。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kern w:val="0"/>
          <w:sz w:val="32"/>
          <w:szCs w:val="32"/>
          <w:highlight w:val="none"/>
          <w:lang w:bidi="ar-SA"/>
        </w:rPr>
        <w:t>第</w:t>
      </w:r>
      <w:r>
        <w:rPr>
          <w:rFonts w:hint="default" w:ascii="Times New Roman" w:hAnsi="Times New Roman" w:eastAsia="黑体" w:cs="Times New Roman"/>
          <w:color w:val="auto"/>
          <w:kern w:val="0"/>
          <w:sz w:val="32"/>
          <w:szCs w:val="32"/>
          <w:highlight w:val="none"/>
          <w:lang w:val="en-US" w:eastAsia="zh-CN" w:bidi="ar-SA"/>
        </w:rPr>
        <w:t>八</w:t>
      </w:r>
      <w:r>
        <w:rPr>
          <w:rFonts w:hint="default" w:ascii="Times New Roman" w:hAnsi="Times New Roman" w:eastAsia="黑体" w:cs="Times New Roman"/>
          <w:color w:val="auto"/>
          <w:kern w:val="0"/>
          <w:sz w:val="32"/>
          <w:szCs w:val="32"/>
          <w:highlight w:val="none"/>
          <w:lang w:bidi="ar-SA"/>
        </w:rPr>
        <w:t>条</w:t>
      </w:r>
      <w:r>
        <w:rPr>
          <w:rFonts w:hint="default" w:ascii="Times New Roman" w:hAnsi="Times New Roman" w:eastAsia="黑体" w:cs="Times New Roman"/>
          <w:color w:val="auto"/>
          <w:kern w:val="0"/>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val="en-US" w:eastAsia="zh-CN"/>
        </w:rPr>
        <w:t>各省级公共机构应遵循厉行节约、从严从紧、优质高效的原则，合理编制公共机构节能减排</w:t>
      </w:r>
      <w:r>
        <w:rPr>
          <w:rFonts w:hint="eastAsia"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val="en-US" w:eastAsia="zh-CN"/>
        </w:rPr>
        <w:t>预算，提高资金使用效益。</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kern w:val="0"/>
          <w:sz w:val="32"/>
          <w:szCs w:val="32"/>
          <w:highlight w:val="none"/>
          <w:lang w:bidi="ar-SA"/>
        </w:rPr>
        <w:t>第</w:t>
      </w:r>
      <w:r>
        <w:rPr>
          <w:rFonts w:hint="default" w:ascii="Times New Roman" w:hAnsi="Times New Roman" w:eastAsia="黑体" w:cs="Times New Roman"/>
          <w:color w:val="auto"/>
          <w:kern w:val="0"/>
          <w:sz w:val="32"/>
          <w:szCs w:val="32"/>
          <w:highlight w:val="none"/>
          <w:lang w:val="en-US" w:eastAsia="zh-CN" w:bidi="ar-SA"/>
        </w:rPr>
        <w:t>九</w:t>
      </w:r>
      <w:r>
        <w:rPr>
          <w:rFonts w:hint="default" w:ascii="Times New Roman" w:hAnsi="Times New Roman" w:eastAsia="黑体" w:cs="Times New Roman"/>
          <w:color w:val="auto"/>
          <w:kern w:val="0"/>
          <w:sz w:val="32"/>
          <w:szCs w:val="32"/>
          <w:highlight w:val="none"/>
          <w:lang w:bidi="ar-SA"/>
        </w:rPr>
        <w:t>条</w:t>
      </w:r>
      <w:r>
        <w:rPr>
          <w:rFonts w:hint="default" w:ascii="Times New Roman"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仿宋_GB2312" w:cs="Times New Roman"/>
          <w:color w:val="auto"/>
          <w:kern w:val="0"/>
          <w:sz w:val="32"/>
          <w:szCs w:val="32"/>
          <w:highlight w:val="none"/>
          <w:lang w:bidi="ar-SA"/>
        </w:rPr>
        <w:t>公共机构节能减排</w:t>
      </w:r>
      <w:r>
        <w:rPr>
          <w:rFonts w:hint="default" w:ascii="Times New Roman" w:hAnsi="Times New Roman" w:eastAsia="仿宋_GB2312" w:cs="Times New Roman"/>
          <w:color w:val="auto"/>
          <w:kern w:val="0"/>
          <w:sz w:val="32"/>
          <w:szCs w:val="32"/>
          <w:highlight w:val="none"/>
          <w:lang w:val="en-US" w:eastAsia="zh-CN" w:bidi="ar-SA"/>
        </w:rPr>
        <w:t>项目</w:t>
      </w:r>
      <w:r>
        <w:rPr>
          <w:rFonts w:hint="default" w:ascii="Times New Roman" w:hAnsi="Times New Roman" w:eastAsia="仿宋_GB2312" w:cs="Times New Roman"/>
          <w:color w:val="auto"/>
          <w:kern w:val="0"/>
          <w:sz w:val="32"/>
          <w:szCs w:val="32"/>
          <w:highlight w:val="none"/>
          <w:lang w:bidi="ar-SA"/>
        </w:rPr>
        <w:t>按照“先入库，后安排资金”原则，科学谋划、提前储备，对补助项目实行全生命周期管理。省机关事务局</w:t>
      </w:r>
      <w:r>
        <w:rPr>
          <w:rFonts w:hint="default" w:ascii="Times New Roman" w:hAnsi="Times New Roman" w:eastAsia="仿宋_GB2312" w:cs="Times New Roman"/>
          <w:color w:val="auto"/>
          <w:kern w:val="0"/>
          <w:sz w:val="32"/>
          <w:szCs w:val="32"/>
          <w:highlight w:val="none"/>
          <w:lang w:val="en-US" w:eastAsia="zh-CN" w:bidi="ar-SA"/>
        </w:rPr>
        <w:t>将</w:t>
      </w:r>
      <w:r>
        <w:rPr>
          <w:rFonts w:hint="default" w:ascii="Times New Roman" w:hAnsi="Times New Roman" w:eastAsia="仿宋_GB2312" w:cs="Times New Roman"/>
          <w:color w:val="auto"/>
          <w:kern w:val="0"/>
          <w:sz w:val="32"/>
          <w:szCs w:val="32"/>
          <w:highlight w:val="none"/>
          <w:lang w:bidi="ar-SA"/>
        </w:rPr>
        <w:t>根据年度预算编制和部门三年支出规划要求，于每年9月底前完成下一年度项目库储备工作</w:t>
      </w:r>
      <w:r>
        <w:rPr>
          <w:rFonts w:hint="default" w:ascii="Times New Roman" w:hAnsi="Times New Roman" w:eastAsia="仿宋_GB2312" w:cs="Times New Roman"/>
          <w:color w:val="auto"/>
          <w:kern w:val="0"/>
          <w:sz w:val="32"/>
          <w:szCs w:val="32"/>
          <w:highlight w:val="none"/>
          <w:lang w:eastAsia="zh-CN" w:bidi="ar-SA"/>
        </w:rPr>
        <w:t>。</w:t>
      </w:r>
      <w:r>
        <w:rPr>
          <w:rFonts w:hint="default" w:ascii="Times New Roman" w:hAnsi="Times New Roman" w:eastAsia="仿宋_GB2312" w:cs="Times New Roman"/>
          <w:color w:val="auto"/>
          <w:kern w:val="0"/>
          <w:sz w:val="32"/>
          <w:szCs w:val="32"/>
          <w:highlight w:val="none"/>
          <w:lang w:val="en-US" w:eastAsia="zh-CN" w:bidi="ar-SA"/>
        </w:rPr>
        <w:t>各项目单位需按要求报送《公共机构节能减排项目专项资金补助申请报告》</w:t>
      </w:r>
      <w:r>
        <w:rPr>
          <w:rFonts w:hint="eastAsia" w:ascii="Times New Roman" w:hAnsi="Times New Roman" w:eastAsia="仿宋_GB2312" w:cs="Times New Roman"/>
          <w:color w:val="auto"/>
          <w:kern w:val="0"/>
          <w:sz w:val="32"/>
          <w:szCs w:val="32"/>
          <w:highlight w:val="none"/>
          <w:lang w:val="en-US" w:eastAsia="zh-CN" w:bidi="ar-SA"/>
        </w:rPr>
        <w:t>（参考模板见《贵州省公共机构节能减排专项资金管理办法</w:t>
      </w:r>
      <w:r>
        <w:rPr>
          <w:rFonts w:hint="eastAsia" w:ascii="仿宋_GB2312" w:hAnsi="仿宋_GB2312" w:eastAsia="仿宋_GB2312" w:cs="仿宋_GB2312"/>
          <w:color w:val="auto"/>
          <w:kern w:val="0"/>
          <w:sz w:val="32"/>
          <w:szCs w:val="32"/>
          <w:highlight w:val="none"/>
          <w:lang w:val="en-US" w:eastAsia="zh-CN" w:bidi="ar-SA"/>
        </w:rPr>
        <w:t>》附件1），</w:t>
      </w:r>
      <w:r>
        <w:rPr>
          <w:rFonts w:hint="default" w:ascii="Times New Roman" w:hAnsi="Times New Roman" w:eastAsia="仿宋_GB2312" w:cs="Times New Roman"/>
          <w:color w:val="auto"/>
          <w:kern w:val="0"/>
          <w:sz w:val="32"/>
          <w:szCs w:val="32"/>
          <w:highlight w:val="none"/>
          <w:lang w:bidi="ar-SA"/>
        </w:rPr>
        <w:t>并按时完成年度预算申报工作。</w:t>
      </w:r>
    </w:p>
    <w:p>
      <w:pPr>
        <w:keepNext w:val="0"/>
        <w:keepLines w:val="0"/>
        <w:pageBreakBefore w:val="0"/>
        <w:widowControl w:val="0"/>
        <w:kinsoku/>
        <w:wordWrap w:val="0"/>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SA"/>
        </w:rPr>
      </w:pPr>
      <w:r>
        <w:rPr>
          <w:rFonts w:hint="default" w:ascii="Times New Roman" w:hAnsi="Times New Roman" w:eastAsia="黑体" w:cs="Times New Roman"/>
          <w:color w:val="auto"/>
          <w:kern w:val="0"/>
          <w:sz w:val="32"/>
          <w:szCs w:val="32"/>
          <w:highlight w:val="none"/>
          <w:lang w:val="en-US" w:eastAsia="zh-CN" w:bidi="ar-SA"/>
        </w:rPr>
        <w:t xml:space="preserve">第十条 </w:t>
      </w:r>
      <w:r>
        <w:rPr>
          <w:rFonts w:hint="default" w:ascii="Times New Roman" w:hAnsi="Times New Roman" w:eastAsia="仿宋_GB2312" w:cs="Times New Roman"/>
          <w:color w:val="auto"/>
          <w:sz w:val="32"/>
          <w:szCs w:val="32"/>
          <w:highlight w:val="none"/>
          <w:lang w:val="en-US" w:eastAsia="zh-CN"/>
        </w:rPr>
        <w:t>专项资金项目立项按照现行规定执行。</w:t>
      </w:r>
      <w:r>
        <w:rPr>
          <w:rFonts w:hint="default" w:ascii="Times New Roman" w:hAnsi="Times New Roman" w:eastAsia="仿宋_GB2312" w:cs="Times New Roman"/>
          <w:color w:val="auto"/>
          <w:kern w:val="0"/>
          <w:sz w:val="32"/>
          <w:szCs w:val="32"/>
          <w:highlight w:val="none"/>
          <w:lang w:bidi="ar-SA"/>
        </w:rPr>
        <w:t>本</w:t>
      </w:r>
      <w:r>
        <w:rPr>
          <w:rFonts w:hint="default" w:ascii="Times New Roman" w:hAnsi="Times New Roman" w:eastAsia="仿宋_GB2312" w:cs="Times New Roman"/>
          <w:color w:val="auto"/>
          <w:kern w:val="0"/>
          <w:sz w:val="32"/>
          <w:szCs w:val="32"/>
          <w:highlight w:val="none"/>
          <w:lang w:val="en-US" w:eastAsia="zh-CN" w:bidi="ar-SA"/>
        </w:rPr>
        <w:t>标准将根据</w:t>
      </w:r>
      <w:r>
        <w:rPr>
          <w:rFonts w:hint="default" w:ascii="Times New Roman" w:hAnsi="Times New Roman" w:eastAsia="仿宋_GB2312" w:cs="Times New Roman"/>
          <w:color w:val="auto"/>
          <w:sz w:val="32"/>
          <w:szCs w:val="32"/>
          <w:highlight w:val="none"/>
          <w:lang w:val="en-US" w:eastAsia="zh-CN"/>
        </w:rPr>
        <w:t>专项资金实施情况、获分配专项资金预算额度</w:t>
      </w:r>
      <w:r>
        <w:rPr>
          <w:rFonts w:hint="default" w:ascii="Times New Roman" w:hAnsi="Times New Roman" w:eastAsia="仿宋_GB2312" w:cs="Times New Roman"/>
          <w:color w:val="auto"/>
          <w:kern w:val="0"/>
          <w:sz w:val="32"/>
          <w:szCs w:val="32"/>
          <w:highlight w:val="none"/>
          <w:lang w:bidi="ar-SA"/>
        </w:rPr>
        <w:t>等</w:t>
      </w:r>
      <w:r>
        <w:rPr>
          <w:rFonts w:hint="default" w:ascii="Times New Roman" w:hAnsi="Times New Roman" w:eastAsia="仿宋_GB2312" w:cs="Times New Roman"/>
          <w:color w:val="auto"/>
          <w:kern w:val="0"/>
          <w:sz w:val="32"/>
          <w:szCs w:val="32"/>
          <w:highlight w:val="none"/>
          <w:lang w:val="en-US" w:eastAsia="zh-CN" w:bidi="ar-SA"/>
        </w:rPr>
        <w:t>条件</w:t>
      </w:r>
      <w:r>
        <w:rPr>
          <w:rFonts w:hint="default" w:ascii="Times New Roman" w:hAnsi="Times New Roman" w:eastAsia="仿宋_GB2312" w:cs="Times New Roman"/>
          <w:color w:val="auto"/>
          <w:kern w:val="0"/>
          <w:sz w:val="32"/>
          <w:szCs w:val="32"/>
          <w:highlight w:val="none"/>
          <w:lang w:bidi="ar-SA"/>
        </w:rPr>
        <w:t>适时调整更新。</w:t>
      </w:r>
    </w:p>
    <w:p>
      <w:pPr>
        <w:keepNext w:val="0"/>
        <w:keepLines w:val="0"/>
        <w:pageBreakBefore w:val="0"/>
        <w:widowControl w:val="0"/>
        <w:kinsoku/>
        <w:wordWrap w:val="0"/>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bidi="ar-SA"/>
        </w:rPr>
      </w:pPr>
      <w:r>
        <w:rPr>
          <w:rFonts w:hint="default" w:ascii="Times New Roman" w:hAnsi="Times New Roman" w:eastAsia="黑体" w:cs="Times New Roman"/>
          <w:color w:val="auto"/>
          <w:kern w:val="0"/>
          <w:sz w:val="32"/>
          <w:szCs w:val="32"/>
          <w:lang w:bidi="ar-SA"/>
        </w:rPr>
        <w:t>第</w:t>
      </w:r>
      <w:r>
        <w:rPr>
          <w:rFonts w:hint="default" w:ascii="Times New Roman" w:hAnsi="Times New Roman" w:eastAsia="黑体" w:cs="Times New Roman"/>
          <w:color w:val="auto"/>
          <w:kern w:val="0"/>
          <w:sz w:val="32"/>
          <w:szCs w:val="32"/>
          <w:lang w:val="en-US" w:eastAsia="zh-CN" w:bidi="ar-SA"/>
        </w:rPr>
        <w:t>十一</w:t>
      </w:r>
      <w:r>
        <w:rPr>
          <w:rFonts w:hint="default" w:ascii="Times New Roman" w:hAnsi="Times New Roman" w:eastAsia="黑体" w:cs="Times New Roman"/>
          <w:color w:val="auto"/>
          <w:kern w:val="0"/>
          <w:sz w:val="32"/>
          <w:szCs w:val="32"/>
          <w:lang w:bidi="ar-SA"/>
        </w:rPr>
        <w:t>条</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本</w:t>
      </w:r>
      <w:r>
        <w:rPr>
          <w:rFonts w:hint="default" w:ascii="Times New Roman" w:hAnsi="Times New Roman" w:eastAsia="仿宋_GB2312" w:cs="Times New Roman"/>
          <w:color w:val="auto"/>
          <w:kern w:val="0"/>
          <w:sz w:val="32"/>
          <w:szCs w:val="32"/>
          <w:lang w:eastAsia="zh-CN" w:bidi="ar-SA"/>
        </w:rPr>
        <w:t>标准</w:t>
      </w:r>
      <w:r>
        <w:rPr>
          <w:rFonts w:hint="default" w:ascii="Times New Roman" w:hAnsi="Times New Roman" w:eastAsia="仿宋_GB2312" w:cs="Times New Roman"/>
          <w:color w:val="auto"/>
          <w:kern w:val="0"/>
          <w:sz w:val="32"/>
          <w:szCs w:val="32"/>
          <w:lang w:bidi="ar-SA"/>
        </w:rPr>
        <w:t>由省财政厅、省</w:t>
      </w:r>
      <w:r>
        <w:rPr>
          <w:rFonts w:hint="default" w:ascii="Times New Roman" w:hAnsi="Times New Roman" w:eastAsia="仿宋_GB2312" w:cs="Times New Roman"/>
          <w:color w:val="auto"/>
          <w:kern w:val="0"/>
          <w:sz w:val="32"/>
          <w:szCs w:val="32"/>
          <w:lang w:val="en-US" w:eastAsia="zh-CN" w:bidi="ar-SA"/>
        </w:rPr>
        <w:t>机关事务</w:t>
      </w:r>
      <w:r>
        <w:rPr>
          <w:rFonts w:hint="default" w:ascii="Times New Roman" w:hAnsi="Times New Roman" w:eastAsia="仿宋_GB2312" w:cs="Times New Roman"/>
          <w:color w:val="auto"/>
          <w:kern w:val="0"/>
          <w:sz w:val="32"/>
          <w:szCs w:val="32"/>
          <w:lang w:bidi="ar-SA"/>
        </w:rPr>
        <w:t>局负责解释。</w:t>
      </w:r>
    </w:p>
    <w:p>
      <w:pPr>
        <w:keepNext w:val="0"/>
        <w:keepLines w:val="0"/>
        <w:pageBreakBefore w:val="0"/>
        <w:widowControl w:val="0"/>
        <w:kinsoku/>
        <w:wordWrap w:val="0"/>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bCs/>
          <w:color w:val="auto"/>
          <w:kern w:val="0"/>
          <w:sz w:val="32"/>
          <w:szCs w:val="32"/>
          <w:lang w:bidi="ar-SA"/>
        </w:rPr>
      </w:pPr>
      <w:r>
        <w:rPr>
          <w:rFonts w:hint="default" w:ascii="Times New Roman" w:hAnsi="Times New Roman" w:eastAsia="黑体" w:cs="Times New Roman"/>
          <w:color w:val="auto"/>
          <w:kern w:val="0"/>
          <w:sz w:val="32"/>
          <w:szCs w:val="32"/>
          <w:lang w:bidi="ar-SA"/>
        </w:rPr>
        <w:t>第</w:t>
      </w:r>
      <w:r>
        <w:rPr>
          <w:rFonts w:hint="default" w:ascii="Times New Roman" w:hAnsi="Times New Roman" w:eastAsia="黑体" w:cs="Times New Roman"/>
          <w:color w:val="auto"/>
          <w:kern w:val="0"/>
          <w:sz w:val="32"/>
          <w:szCs w:val="32"/>
          <w:lang w:val="en-US" w:eastAsia="zh-CN" w:bidi="ar-SA"/>
        </w:rPr>
        <w:t>十二</w:t>
      </w:r>
      <w:r>
        <w:rPr>
          <w:rFonts w:hint="default" w:ascii="Times New Roman" w:hAnsi="Times New Roman" w:eastAsia="黑体" w:cs="Times New Roman"/>
          <w:color w:val="auto"/>
          <w:kern w:val="0"/>
          <w:sz w:val="32"/>
          <w:szCs w:val="32"/>
          <w:lang w:bidi="ar-SA"/>
        </w:rPr>
        <w:t>条</w:t>
      </w:r>
      <w:r>
        <w:rPr>
          <w:rFonts w:hint="default" w:ascii="Times New Roman" w:hAnsi="Times New Roman" w:eastAsia="黑体"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本</w:t>
      </w:r>
      <w:r>
        <w:rPr>
          <w:rFonts w:hint="default" w:ascii="Times New Roman" w:hAnsi="Times New Roman" w:eastAsia="仿宋_GB2312" w:cs="Times New Roman"/>
          <w:color w:val="auto"/>
          <w:kern w:val="0"/>
          <w:sz w:val="32"/>
          <w:szCs w:val="32"/>
          <w:lang w:eastAsia="zh-CN" w:bidi="ar-SA"/>
        </w:rPr>
        <w:t>标准</w:t>
      </w:r>
      <w:r>
        <w:rPr>
          <w:rFonts w:hint="default" w:ascii="Times New Roman" w:hAnsi="Times New Roman" w:eastAsia="仿宋_GB2312" w:cs="Times New Roman"/>
          <w:color w:val="auto"/>
          <w:kern w:val="0"/>
          <w:sz w:val="32"/>
          <w:szCs w:val="32"/>
          <w:lang w:bidi="ar-SA"/>
        </w:rPr>
        <w:t>于印发之日起施行。</w:t>
      </w:r>
    </w:p>
    <w:p>
      <w:pPr>
        <w:pStyle w:val="5"/>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4883785</wp:posOffset>
              </wp:positionH>
              <wp:positionV relativeFrom="paragraph">
                <wp:posOffset>0</wp:posOffset>
              </wp:positionV>
              <wp:extent cx="7321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2155"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ascii="Times New Roman" w:hAnsi="Times New Roman"/>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left:384.55pt;margin-top:0pt;height:144pt;width:57.65pt;mso-position-horizontal-relative:margin;z-index:251659264;mso-width-relative:page;mso-height-relative:page;" filled="f" stroked="f" coordsize="21600,21600" o:gfxdata="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TzDn1QAAAAgBAAAPAAAAAAAAAAEAIAAAACIAAABkcnMvZG93bnJl&#10;di54bWxQSwECFAAUAAAACACHTuJAfJfpBscBAACMAwAADgAAAAAAAAABACAAAAAkAQAAZHJzL2Uy&#10;b0RvYy54bWxQSwUGAAAAAAYABgBZAQAAXQUAAAAA&#10;">
              <v:path/>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eastAsia="宋体"/>
        <w:sz w:val="28"/>
        <w:szCs w:val="28"/>
      </w:rPr>
    </w:pPr>
    <w:r>
      <w:rPr>
        <w:rFonts w:hint="eastAsia"/>
        <w:lang w:val="en-US" w:eastAsia="zh-CN"/>
      </w:rPr>
      <w:t xml:space="preserve">  </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p>
    <w:pPr>
      <w:pStyle w:val="4"/>
      <w:rPr>
        <w:rFonts w:hint="default" w:eastAsia="宋体"/>
        <w:lang w:val="en-US" w:eastAsia="zh-CN"/>
      </w:rPr>
    </w:pPr>
    <w:r>
      <w:rPr>
        <w:rFonts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4660242C"/>
    <w:rsid w:val="4660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61"/>
    <w:basedOn w:val="8"/>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2023-01-16T04:44:00Z</dcterms:created>
  <dc:creator>何以笙萧默</dc:creator>
  <cp:lastModifiedBy>何以笙萧默</cp:lastModifiedBy>
  <dcterms:modified xsi:type="dcterms:W3CDTF">2023-01-16T04:45:34Z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CEC47B1C25374EFD9EB196B3B78D78DF</vt:lpwstr>
  </property>
</Properties>
</file>