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B54" w:rsidRDefault="00272B54">
      <w:pPr>
        <w:snapToGrid w:val="0"/>
        <w:jc w:val="center"/>
        <w:rPr>
          <w:rFonts w:ascii="华文中宋" w:eastAsia="华文中宋" w:hAnsi="华文中宋"/>
          <w:sz w:val="36"/>
          <w:szCs w:val="36"/>
        </w:rPr>
      </w:pPr>
    </w:p>
    <w:p w:rsidR="00272B54" w:rsidRDefault="00272B54">
      <w:pPr>
        <w:snapToGrid w:val="0"/>
        <w:jc w:val="center"/>
        <w:rPr>
          <w:rFonts w:ascii="华文中宋" w:eastAsia="华文中宋" w:hAnsi="华文中宋"/>
          <w:sz w:val="36"/>
          <w:szCs w:val="36"/>
        </w:rPr>
      </w:pPr>
    </w:p>
    <w:p w:rsidR="00272B54" w:rsidRDefault="00A736FE">
      <w:pPr>
        <w:snapToGrid w:val="0"/>
        <w:jc w:val="center"/>
        <w:rPr>
          <w:rFonts w:ascii="华文中宋" w:eastAsia="华文中宋" w:hAnsi="华文中宋"/>
          <w:sz w:val="36"/>
          <w:szCs w:val="36"/>
        </w:rPr>
      </w:pPr>
      <w:r>
        <w:rPr>
          <w:rFonts w:ascii="华文中宋" w:eastAsia="华文中宋" w:hAnsi="华文中宋" w:hint="eastAsia"/>
          <w:sz w:val="36"/>
          <w:szCs w:val="36"/>
        </w:rPr>
        <w:t>2019年度部门决算分析报告撰写提纲</w:t>
      </w:r>
    </w:p>
    <w:p w:rsidR="00272B54" w:rsidRDefault="00A736FE">
      <w:pPr>
        <w:snapToGrid w:val="0"/>
        <w:jc w:val="center"/>
        <w:rPr>
          <w:rFonts w:ascii="华文中宋" w:eastAsia="华文中宋" w:hAnsi="华文中宋"/>
          <w:sz w:val="36"/>
          <w:szCs w:val="36"/>
        </w:rPr>
      </w:pPr>
      <w:r>
        <w:rPr>
          <w:rFonts w:ascii="华文中宋" w:eastAsia="华文中宋" w:hAnsi="华文中宋" w:hint="eastAsia"/>
          <w:sz w:val="36"/>
          <w:szCs w:val="36"/>
        </w:rPr>
        <w:t>（部门</w:t>
      </w:r>
      <w:bookmarkStart w:id="0" w:name="_GoBack"/>
      <w:bookmarkEnd w:id="0"/>
      <w:r>
        <w:rPr>
          <w:rFonts w:ascii="华文中宋" w:eastAsia="华文中宋" w:hAnsi="华文中宋" w:hint="eastAsia"/>
          <w:sz w:val="36"/>
          <w:szCs w:val="36"/>
        </w:rPr>
        <w:t>汇总版）</w:t>
      </w:r>
    </w:p>
    <w:p w:rsidR="00272B54" w:rsidRDefault="00272B54">
      <w:pPr>
        <w:snapToGrid w:val="0"/>
        <w:jc w:val="center"/>
        <w:rPr>
          <w:rFonts w:ascii="华文中宋" w:eastAsia="华文中宋" w:hAnsi="华文中宋"/>
          <w:sz w:val="36"/>
          <w:szCs w:val="36"/>
        </w:rPr>
      </w:pPr>
    </w:p>
    <w:p w:rsidR="00272B54" w:rsidRDefault="00A736FE">
      <w:pPr>
        <w:snapToGrid w:val="0"/>
        <w:spacing w:line="520" w:lineRule="exact"/>
        <w:ind w:firstLineChars="200" w:firstLine="640"/>
        <w:rPr>
          <w:rFonts w:ascii="黑体" w:eastAsia="黑体" w:hAnsi="黑体"/>
          <w:sz w:val="32"/>
          <w:szCs w:val="32"/>
        </w:rPr>
      </w:pPr>
      <w:bookmarkStart w:id="1" w:name="YS060101"/>
      <w:r>
        <w:rPr>
          <w:rFonts w:ascii="黑体" w:eastAsia="黑体" w:hAnsi="黑体" w:hint="eastAsia"/>
          <w:sz w:val="32"/>
          <w:szCs w:val="32"/>
        </w:rPr>
        <w:t>一、部门情况</w:t>
      </w:r>
    </w:p>
    <w:bookmarkEnd w:id="1"/>
    <w:p w:rsidR="00272B54" w:rsidRDefault="00A736FE">
      <w:pPr>
        <w:snapToGrid w:val="0"/>
        <w:spacing w:line="520" w:lineRule="exact"/>
        <w:ind w:firstLineChars="200" w:firstLine="643"/>
        <w:rPr>
          <w:rFonts w:ascii="楷体_GB2312" w:eastAsia="楷体_GB2312" w:hAnsi="仿宋"/>
          <w:b/>
          <w:sz w:val="32"/>
          <w:szCs w:val="32"/>
        </w:rPr>
      </w:pPr>
      <w:r>
        <w:rPr>
          <w:rFonts w:ascii="楷体_GB2312" w:eastAsia="楷体_GB2312" w:hAnsi="仿宋" w:hint="eastAsia"/>
          <w:b/>
          <w:sz w:val="32"/>
          <w:szCs w:val="32"/>
        </w:rPr>
        <w:t>（一）基本情况。</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1．主要职能。</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2．机构情况，包括当年变动情况及原因。</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3．人员情况，包括当年变动情况及原因。</w:t>
      </w:r>
    </w:p>
    <w:p w:rsidR="00272B54" w:rsidRDefault="00A736FE">
      <w:pPr>
        <w:snapToGrid w:val="0"/>
        <w:spacing w:line="520" w:lineRule="exact"/>
        <w:ind w:firstLineChars="200" w:firstLine="643"/>
        <w:rPr>
          <w:rFonts w:ascii="楷体_GB2312" w:eastAsia="楷体_GB2312" w:hAnsi="仿宋"/>
          <w:b/>
          <w:sz w:val="32"/>
          <w:szCs w:val="32"/>
        </w:rPr>
      </w:pPr>
      <w:r>
        <w:rPr>
          <w:rFonts w:ascii="楷体_GB2312" w:eastAsia="楷体_GB2312" w:hAnsi="仿宋" w:hint="eastAsia"/>
          <w:b/>
          <w:sz w:val="32"/>
          <w:szCs w:val="32"/>
        </w:rPr>
        <w:t>（二）当年取得的主要事业成效。</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概述部门工作开展情况及主要事业成效。</w:t>
      </w:r>
    </w:p>
    <w:p w:rsidR="00272B54" w:rsidRDefault="00A736FE">
      <w:pPr>
        <w:snapToGrid w:val="0"/>
        <w:spacing w:line="520" w:lineRule="exact"/>
        <w:ind w:firstLineChars="200" w:firstLine="640"/>
        <w:rPr>
          <w:rFonts w:ascii="黑体" w:eastAsia="黑体" w:hAnsi="黑体"/>
          <w:sz w:val="32"/>
          <w:szCs w:val="32"/>
        </w:rPr>
      </w:pPr>
      <w:bookmarkStart w:id="2" w:name="YS060102"/>
      <w:r>
        <w:rPr>
          <w:rFonts w:ascii="黑体" w:eastAsia="黑体" w:hAnsi="黑体" w:hint="eastAsia"/>
          <w:sz w:val="32"/>
          <w:szCs w:val="32"/>
        </w:rPr>
        <w:t>二、收入支出预算执行情况分析</w:t>
      </w:r>
    </w:p>
    <w:bookmarkEnd w:id="2"/>
    <w:p w:rsidR="00272B54" w:rsidRDefault="00A736FE">
      <w:pPr>
        <w:snapToGrid w:val="0"/>
        <w:spacing w:line="520" w:lineRule="exact"/>
        <w:ind w:firstLineChars="200" w:firstLine="643"/>
        <w:rPr>
          <w:rFonts w:ascii="楷体_GB2312" w:eastAsia="楷体_GB2312" w:hAnsi="仿宋"/>
          <w:b/>
          <w:sz w:val="32"/>
          <w:szCs w:val="32"/>
        </w:rPr>
      </w:pPr>
      <w:r>
        <w:rPr>
          <w:rFonts w:ascii="楷体_GB2312" w:eastAsia="楷体_GB2312" w:hAnsi="仿宋" w:hint="eastAsia"/>
          <w:b/>
          <w:sz w:val="32"/>
          <w:szCs w:val="32"/>
        </w:rPr>
        <w:t>（一）收入支出预算安排情况。</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包括部门收入、支出年初预算安排情况，与上年对比情况及增减变动原因(可用柱形图或折线图)。</w:t>
      </w:r>
    </w:p>
    <w:p w:rsidR="00272B54" w:rsidRDefault="00A736FE">
      <w:pPr>
        <w:snapToGrid w:val="0"/>
        <w:spacing w:line="520" w:lineRule="exact"/>
        <w:ind w:firstLineChars="200" w:firstLine="643"/>
        <w:rPr>
          <w:rFonts w:ascii="楷体_GB2312" w:eastAsia="楷体_GB2312" w:hAnsi="仿宋"/>
          <w:b/>
          <w:sz w:val="32"/>
          <w:szCs w:val="32"/>
        </w:rPr>
      </w:pPr>
      <w:r>
        <w:rPr>
          <w:rFonts w:ascii="楷体_GB2312" w:eastAsia="楷体_GB2312" w:hAnsi="仿宋" w:hint="eastAsia"/>
          <w:b/>
          <w:sz w:val="32"/>
          <w:szCs w:val="32"/>
        </w:rPr>
        <w:t>（二）收入支出预算执行情况。</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当年收入支出预算执行基本情况，与上年度对比情况，包括增减绝对值与幅度，增减变动主要原因(可用柱形图或折线图)。</w:t>
      </w:r>
    </w:p>
    <w:p w:rsidR="00272B54" w:rsidRDefault="00A736FE">
      <w:pPr>
        <w:snapToGrid w:val="0"/>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1．收入支出与预算对比分析。</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（1）预、决算差异情况，可分收入支出功能科目、分单位、分收入支出具体项目逐项对比（可列表）。</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（2）差异原因分析。差异较大的应分析到具体收入支出功能科目和具体单位。</w:t>
      </w:r>
    </w:p>
    <w:p w:rsidR="00272B54" w:rsidRDefault="00A736FE">
      <w:pPr>
        <w:snapToGrid w:val="0"/>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2．收入支出结构分析。</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（1）各项收入占总收入的比重，各项支出占总支出的比重（可分别制作饼状图）。</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（2）收入支出按部门所属单位分布情况（可列表）。</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（3）收入支出与上年度对比情况及原因分析(可用柱形图或折线图)。</w:t>
      </w:r>
    </w:p>
    <w:p w:rsidR="00272B54" w:rsidRDefault="00A736FE">
      <w:pPr>
        <w:snapToGrid w:val="0"/>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3．支出按经济分类科目分析。</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（1）“三公”经费支出情况：可进行上下年对比、预决算对比，人均支出情况分析（可做表、柱图、折线图）。</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（2）会议费支出情况：可进行上下年对比、预决算对比，人均支出情况分析（可做表、柱图、折线图）。</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（3）培训费支出情况：可进行上下年对比、预决算对比，人均支出情况分析（可做表、柱图、折线图）。</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（4）其他对部门影响较大的支出情况。</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（5）重点经济分类支出中存在的问题及改进措施。</w:t>
      </w:r>
    </w:p>
    <w:p w:rsidR="00272B54" w:rsidRDefault="00A736FE">
      <w:pPr>
        <w:snapToGrid w:val="0"/>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4.财政拨款收入、支出分析。</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分析财政拨款收入、支出总体情况，支出要按照基本支出和项目支出分析具体构成及特点。</w:t>
      </w:r>
    </w:p>
    <w:p w:rsidR="00272B54" w:rsidRDefault="00A736FE">
      <w:pPr>
        <w:snapToGrid w:val="0"/>
        <w:spacing w:line="520" w:lineRule="exact"/>
        <w:ind w:firstLineChars="200" w:firstLine="643"/>
        <w:rPr>
          <w:rFonts w:ascii="楷体_GB2312" w:eastAsia="楷体_GB2312" w:hAnsi="仿宋"/>
          <w:b/>
          <w:sz w:val="32"/>
          <w:szCs w:val="32"/>
        </w:rPr>
      </w:pPr>
      <w:r>
        <w:rPr>
          <w:rFonts w:ascii="楷体_GB2312" w:eastAsia="楷体_GB2312" w:hAnsi="仿宋" w:hint="eastAsia"/>
          <w:b/>
          <w:sz w:val="32"/>
          <w:szCs w:val="32"/>
        </w:rPr>
        <w:t>（三）年末结转和结余情况。</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1．分资金来源、资金性质结转和结余情况，特别是项目经费结转和结余情况。</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2．分单位结转和结余情况。</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3．结转和结余规模较大的原因分析及消化结转和结余的对策。</w:t>
      </w:r>
    </w:p>
    <w:p w:rsidR="00765932" w:rsidRPr="00765932" w:rsidRDefault="00765932" w:rsidP="00765932">
      <w:pPr>
        <w:snapToGrid w:val="0"/>
        <w:spacing w:line="520" w:lineRule="exact"/>
        <w:ind w:firstLineChars="200" w:firstLine="643"/>
        <w:rPr>
          <w:rFonts w:ascii="楷体_GB2312" w:eastAsia="楷体_GB2312" w:hAnsi="仿宋"/>
          <w:b/>
          <w:sz w:val="32"/>
          <w:szCs w:val="32"/>
        </w:rPr>
      </w:pPr>
      <w:r w:rsidRPr="00765932">
        <w:rPr>
          <w:rFonts w:ascii="楷体_GB2312" w:eastAsia="楷体_GB2312" w:hAnsi="仿宋" w:hint="eastAsia"/>
          <w:b/>
          <w:sz w:val="32"/>
          <w:szCs w:val="32"/>
        </w:rPr>
        <w:t>（四）与预算支出相关的其他指标分析。</w:t>
      </w:r>
    </w:p>
    <w:p w:rsidR="00765932" w:rsidRPr="00765932" w:rsidRDefault="00765932" w:rsidP="00765932">
      <w:pPr>
        <w:snapToGrid w:val="0"/>
        <w:spacing w:line="520" w:lineRule="exact"/>
        <w:ind w:firstLineChars="200" w:firstLine="640"/>
        <w:rPr>
          <w:rFonts w:ascii="仿宋_GB2312" w:eastAsia="仿宋_GB2312" w:hAnsi="仿宋"/>
          <w:sz w:val="32"/>
          <w:szCs w:val="32"/>
        </w:rPr>
      </w:pPr>
      <w:r w:rsidRPr="00765932">
        <w:rPr>
          <w:rFonts w:ascii="仿宋_GB2312" w:eastAsia="仿宋_GB2312" w:hAnsi="仿宋" w:hint="eastAsia"/>
          <w:sz w:val="32"/>
          <w:szCs w:val="32"/>
        </w:rPr>
        <w:t>对资产</w:t>
      </w:r>
      <w:r w:rsidR="00290AF5">
        <w:rPr>
          <w:rFonts w:ascii="仿宋_GB2312" w:eastAsia="仿宋_GB2312" w:hAnsi="仿宋" w:hint="eastAsia"/>
          <w:sz w:val="32"/>
          <w:szCs w:val="32"/>
        </w:rPr>
        <w:t>、</w:t>
      </w:r>
      <w:r w:rsidRPr="00765932">
        <w:rPr>
          <w:rFonts w:ascii="仿宋_GB2312" w:eastAsia="仿宋_GB2312" w:hAnsi="仿宋" w:hint="eastAsia"/>
          <w:sz w:val="32"/>
          <w:szCs w:val="32"/>
        </w:rPr>
        <w:t>负债信息进行分析，主要分析与上年度对比情况，包括增减绝对值与幅度，增减变动主要原因(可用柱形</w:t>
      </w:r>
      <w:r w:rsidRPr="00765932">
        <w:rPr>
          <w:rFonts w:ascii="仿宋_GB2312" w:eastAsia="仿宋_GB2312" w:hAnsi="仿宋" w:hint="eastAsia"/>
          <w:sz w:val="32"/>
          <w:szCs w:val="32"/>
        </w:rPr>
        <w:lastRenderedPageBreak/>
        <w:t>图或折线图)，对预算编制和执行的影响等。</w:t>
      </w:r>
    </w:p>
    <w:p w:rsidR="00765932" w:rsidRDefault="00765932" w:rsidP="00765932">
      <w:pPr>
        <w:snapToGrid w:val="0"/>
        <w:spacing w:line="520" w:lineRule="exact"/>
        <w:ind w:firstLineChars="200" w:firstLine="643"/>
        <w:rPr>
          <w:rFonts w:ascii="楷体_GB2312" w:eastAsia="楷体_GB2312" w:hAnsi="仿宋"/>
          <w:b/>
          <w:sz w:val="32"/>
          <w:szCs w:val="32"/>
        </w:rPr>
      </w:pPr>
      <w:r w:rsidRPr="00765932">
        <w:rPr>
          <w:rFonts w:ascii="楷体_GB2312" w:eastAsia="楷体_GB2312" w:hAnsi="仿宋" w:hint="eastAsia"/>
          <w:b/>
          <w:sz w:val="32"/>
          <w:szCs w:val="32"/>
        </w:rPr>
        <w:t>（五）绩效目标完成情况。</w:t>
      </w:r>
    </w:p>
    <w:p w:rsidR="00765932" w:rsidRDefault="00765932" w:rsidP="00765932">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1.概述一级项目和二级项目绩效目标完成情况。</w:t>
      </w:r>
    </w:p>
    <w:p w:rsidR="00765932" w:rsidRDefault="00765932" w:rsidP="00765932">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2.概述下属单位整体支出绩效目标实现情况（如有）。</w:t>
      </w:r>
    </w:p>
    <w:p w:rsidR="00765932" w:rsidRDefault="00765932" w:rsidP="00765932">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3.概述以部门为主体开展的重点项目绩效评价情况（绩效评价结果，发现的问题及改进建议）。</w:t>
      </w:r>
    </w:p>
    <w:p w:rsidR="00765932" w:rsidRDefault="00765932" w:rsidP="00765932">
      <w:pPr>
        <w:snapToGrid w:val="0"/>
        <w:spacing w:line="520" w:lineRule="exact"/>
        <w:ind w:firstLineChars="200" w:firstLine="643"/>
        <w:rPr>
          <w:rFonts w:ascii="楷体_GB2312" w:eastAsia="楷体_GB2312" w:hAnsi="仿宋"/>
          <w:b/>
          <w:sz w:val="32"/>
          <w:szCs w:val="32"/>
        </w:rPr>
      </w:pPr>
      <w:r>
        <w:rPr>
          <w:rFonts w:ascii="楷体_GB2312" w:eastAsia="楷体_GB2312" w:hAnsi="仿宋" w:hint="eastAsia"/>
          <w:b/>
          <w:sz w:val="32"/>
          <w:szCs w:val="32"/>
        </w:rPr>
        <w:t>（六）当年预算执行及绩效管理中存在问题、原因及改进措施。</w:t>
      </w:r>
    </w:p>
    <w:p w:rsidR="00272B54" w:rsidRDefault="00790985">
      <w:pPr>
        <w:snapToGrid w:val="0"/>
        <w:spacing w:line="520" w:lineRule="exact"/>
        <w:ind w:firstLineChars="200" w:firstLine="640"/>
        <w:rPr>
          <w:rFonts w:ascii="黑体" w:eastAsia="黑体" w:hAnsi="黑体"/>
          <w:sz w:val="32"/>
          <w:szCs w:val="32"/>
        </w:rPr>
      </w:pPr>
      <w:r>
        <w:rPr>
          <w:rFonts w:ascii="黑体" w:eastAsia="黑体" w:hAnsi="黑体" w:hint="eastAsia"/>
          <w:sz w:val="32"/>
          <w:szCs w:val="32"/>
        </w:rPr>
        <w:t>三</w:t>
      </w:r>
      <w:r w:rsidR="00A736FE">
        <w:rPr>
          <w:rFonts w:ascii="黑体" w:eastAsia="黑体" w:hAnsi="黑体" w:hint="eastAsia"/>
          <w:sz w:val="32"/>
          <w:szCs w:val="32"/>
        </w:rPr>
        <w:t>、本年度部门决算等财务工作开展情况</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（一）本部门财务管理、绩效管理、决算组织、编报、审核情况。</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（二）本部门决算及绩效信息公开工作、主管部门对所属单位按规定批复决算工作开展情况。</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（三）对部门决算管理及报表设计的意见建议。</w:t>
      </w: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（四）对加强部门决算数据分析利用工作的建议。</w:t>
      </w:r>
    </w:p>
    <w:p w:rsidR="00272B54" w:rsidRDefault="00272B54">
      <w:pPr>
        <w:snapToGrid w:val="0"/>
        <w:spacing w:line="520" w:lineRule="exact"/>
        <w:ind w:firstLineChars="200" w:firstLine="640"/>
        <w:rPr>
          <w:rFonts w:ascii="仿宋_GB2312" w:eastAsia="仿宋_GB2312" w:hAnsi="仿宋"/>
          <w:sz w:val="32"/>
          <w:szCs w:val="32"/>
        </w:rPr>
      </w:pPr>
    </w:p>
    <w:p w:rsidR="00272B54" w:rsidRDefault="00A736FE">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注：收入支出预算执行情况分析可参考部门决算分析评价表（见软件查询模板）及行政事业单位财务分析指标（附后）。</w:t>
      </w:r>
    </w:p>
    <w:p w:rsidR="00272B54" w:rsidRDefault="00A736FE">
      <w:pPr>
        <w:snapToGrid w:val="0"/>
        <w:rPr>
          <w:rFonts w:ascii="仿宋_GB2312" w:eastAsia="仿宋_GB2312" w:hAnsi="仿宋"/>
          <w:sz w:val="32"/>
          <w:szCs w:val="32"/>
        </w:rPr>
      </w:pPr>
      <w:r>
        <w:rPr>
          <w:rFonts w:ascii="仿宋_GB2312" w:eastAsia="仿宋_GB2312" w:hAnsi="仿宋"/>
          <w:sz w:val="32"/>
          <w:szCs w:val="32"/>
        </w:rPr>
        <w:br w:type="page"/>
      </w:r>
      <w:r>
        <w:rPr>
          <w:rFonts w:ascii="仿宋_GB2312" w:eastAsia="仿宋_GB2312" w:hAnsi="仿宋" w:hint="eastAsia"/>
          <w:sz w:val="32"/>
          <w:szCs w:val="32"/>
        </w:rPr>
        <w:lastRenderedPageBreak/>
        <w:t>附：</w:t>
      </w:r>
    </w:p>
    <w:p w:rsidR="00272B54" w:rsidRDefault="00272B54">
      <w:pPr>
        <w:snapToGrid w:val="0"/>
        <w:ind w:firstLineChars="200" w:firstLine="640"/>
        <w:jc w:val="center"/>
        <w:rPr>
          <w:rFonts w:ascii="华文中宋" w:eastAsia="华文中宋" w:hAnsi="华文中宋"/>
          <w:sz w:val="32"/>
          <w:szCs w:val="32"/>
        </w:rPr>
      </w:pPr>
    </w:p>
    <w:p w:rsidR="00272B54" w:rsidRDefault="00A736FE">
      <w:pPr>
        <w:snapToGrid w:val="0"/>
        <w:ind w:firstLineChars="200" w:firstLine="640"/>
        <w:jc w:val="center"/>
        <w:rPr>
          <w:rFonts w:ascii="华文中宋" w:eastAsia="华文中宋" w:hAnsi="华文中宋"/>
          <w:sz w:val="32"/>
          <w:szCs w:val="32"/>
        </w:rPr>
      </w:pPr>
      <w:r>
        <w:rPr>
          <w:rFonts w:ascii="华文中宋" w:eastAsia="华文中宋" w:hAnsi="华文中宋" w:hint="eastAsia"/>
          <w:sz w:val="32"/>
          <w:szCs w:val="32"/>
        </w:rPr>
        <w:t>行政事业单位财务分析指标</w:t>
      </w:r>
    </w:p>
    <w:p w:rsidR="00272B54" w:rsidRDefault="00272B54">
      <w:pPr>
        <w:snapToGrid w:val="0"/>
        <w:ind w:firstLineChars="200" w:firstLine="640"/>
        <w:rPr>
          <w:rFonts w:ascii="仿宋_GB2312" w:eastAsia="仿宋_GB2312" w:hAnsi="仿宋"/>
          <w:sz w:val="32"/>
          <w:szCs w:val="32"/>
        </w:rPr>
      </w:pPr>
    </w:p>
    <w:p w:rsidR="00272B54" w:rsidRDefault="00A736FE">
      <w:pPr>
        <w:snapToGrid w:val="0"/>
        <w:ind w:firstLineChars="200" w:firstLine="640"/>
        <w:rPr>
          <w:rFonts w:ascii="黑体" w:eastAsia="黑体" w:hAnsi="黑体"/>
          <w:sz w:val="32"/>
          <w:szCs w:val="32"/>
        </w:rPr>
      </w:pPr>
      <w:r>
        <w:rPr>
          <w:rFonts w:ascii="黑体" w:eastAsia="黑体" w:hAnsi="黑体" w:hint="eastAsia"/>
          <w:sz w:val="32"/>
          <w:szCs w:val="32"/>
        </w:rPr>
        <w:t>一、行政单位财务分析指标</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1.支出增长率，衡量行政单位支出的增长水平。计算公式为：</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支出增长率＝(本期支出总额÷上期支出总额-1)×100%</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2.当年预算支出完成率，衡量行政单位当年支出总预算及分项预算完成的程度。计算公式为：</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当年预算支出完成率＝年终执行数÷（年初预算数±年中预算调整数）×100%</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年终执行数不含上年结转和结余支出数。</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3.人均开支，衡量行政单位人均年消耗经费水平。计算公式为：</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人均开支＝本期支出数÷本期平均在职人员数×100%</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4.项目支出占总支出的比率，衡量行政单位的支出结构。计算公式为：</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项目支出比率=本期项目支出数÷本期支出总数×100%</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5.人员支出、公用支出占总支出的比率，衡量行政单位的支出结构。计算公式为：</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人员支出比率=本期人员支出数÷本期支出总数×100%</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公用支出比率=本期公用支出数÷本期支出总数×100%</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6.人均办公使用面积，衡量行政单位办公用房配备情况。计算公式为：</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人均办公使用面积=本期末单位办公用房使用面积÷本期末在职人员数</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7.人车比例，衡量行政单位公务用车配备情况。计算公式为：</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人车比例=本期末在职人员数÷本期末公务用车实有数:1</w:t>
      </w:r>
    </w:p>
    <w:p w:rsidR="00272B54" w:rsidRDefault="00272B54">
      <w:pPr>
        <w:snapToGrid w:val="0"/>
        <w:ind w:firstLineChars="200" w:firstLine="640"/>
        <w:rPr>
          <w:rFonts w:ascii="仿宋_GB2312" w:eastAsia="仿宋_GB2312" w:hAnsi="仿宋"/>
          <w:sz w:val="32"/>
          <w:szCs w:val="32"/>
        </w:rPr>
      </w:pPr>
    </w:p>
    <w:p w:rsidR="00272B54" w:rsidRDefault="00A736FE">
      <w:pPr>
        <w:snapToGrid w:val="0"/>
        <w:ind w:firstLineChars="200" w:firstLine="640"/>
        <w:rPr>
          <w:rFonts w:ascii="黑体" w:eastAsia="黑体" w:hAnsi="黑体"/>
          <w:sz w:val="32"/>
          <w:szCs w:val="32"/>
        </w:rPr>
      </w:pPr>
      <w:r>
        <w:rPr>
          <w:rFonts w:ascii="黑体" w:eastAsia="黑体" w:hAnsi="黑体" w:hint="eastAsia"/>
          <w:sz w:val="32"/>
          <w:szCs w:val="32"/>
        </w:rPr>
        <w:lastRenderedPageBreak/>
        <w:t>二、事业单位财务分析指标</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1.预算收入和支出完成率，衡量事业单位收入和支出总预算及分项预算完成的程度。计算公式为：</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预算收入完成率＝年终执行数÷（年初预算数±年中预算调整数）×100%</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年终执行数不含上年结转和结余收入数</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预算支出完成率＝年终执行数÷（年初预算数±年中预算调整数）×100%</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年终执行数不含上年结转和结余支出数</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2.人员支出、公用支出占事业支出的比率，衡量事业单位事业支出结构。计算公式为：</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人员支出比率＝人员支出÷事业支出×100%</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公用支出比率＝公用支出÷事业支出×100%</w:t>
      </w: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3.人均基本支出，衡量事业单位按照实际在编人数平均的基本支出水平。计算公式为：</w:t>
      </w:r>
    </w:p>
    <w:p w:rsidR="00272B54" w:rsidRDefault="00A736FE">
      <w:pPr>
        <w:snapToGrid w:val="0"/>
        <w:ind w:firstLineChars="200" w:firstLine="640"/>
        <w:rPr>
          <w:rFonts w:ascii="仿宋_GB2312" w:eastAsia="仿宋_GB2312" w:hAnsi="仿宋"/>
          <w:b/>
          <w:sz w:val="32"/>
          <w:szCs w:val="32"/>
        </w:rPr>
      </w:pPr>
      <w:r>
        <w:rPr>
          <w:rFonts w:ascii="仿宋_GB2312" w:eastAsia="仿宋_GB2312" w:hAnsi="仿宋" w:hint="eastAsia"/>
          <w:sz w:val="32"/>
          <w:szCs w:val="32"/>
        </w:rPr>
        <w:t>人均基本支出＝（基本支出-离退休人员支出）÷实际在编人数</w:t>
      </w:r>
    </w:p>
    <w:p w:rsidR="00272B54" w:rsidRDefault="00272B54">
      <w:pPr>
        <w:snapToGrid w:val="0"/>
        <w:ind w:firstLineChars="200" w:firstLine="640"/>
        <w:rPr>
          <w:rFonts w:ascii="仿宋_GB2312" w:eastAsia="仿宋_GB2312" w:hAnsi="仿宋"/>
          <w:sz w:val="32"/>
          <w:szCs w:val="32"/>
        </w:rPr>
      </w:pPr>
    </w:p>
    <w:p w:rsidR="00272B54" w:rsidRDefault="00A736FE">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此外，行业事业单位还可根据相关财务制度规定和分析需要增加相关分析指标，如：</w:t>
      </w:r>
    </w:p>
    <w:p w:rsidR="00272B54" w:rsidRDefault="00A736FE">
      <w:pPr>
        <w:ind w:firstLineChars="221" w:firstLine="707"/>
        <w:rPr>
          <w:rFonts w:ascii="仿宋_GB2312" w:eastAsia="仿宋_GB2312" w:hAnsi="仿宋"/>
          <w:sz w:val="32"/>
          <w:szCs w:val="32"/>
        </w:rPr>
      </w:pPr>
      <w:r>
        <w:rPr>
          <w:rFonts w:ascii="仿宋_GB2312" w:eastAsia="仿宋_GB2312" w:hAnsi="仿宋" w:hint="eastAsia"/>
          <w:sz w:val="32"/>
          <w:szCs w:val="32"/>
        </w:rPr>
        <w:t>1.财政拨款依存度, 衡量部门（单位）对财政拨款的依赖程度。</w:t>
      </w:r>
    </w:p>
    <w:p w:rsidR="00272B54" w:rsidRDefault="00A736FE">
      <w:pPr>
        <w:widowControl/>
        <w:ind w:firstLineChars="200" w:firstLine="640"/>
        <w:textAlignment w:val="center"/>
        <w:rPr>
          <w:color w:val="0000FF"/>
        </w:rPr>
      </w:pPr>
      <w:r>
        <w:rPr>
          <w:rFonts w:ascii="仿宋_GB2312" w:eastAsia="仿宋_GB2312" w:hAnsi="仿宋" w:hint="eastAsia"/>
          <w:sz w:val="32"/>
          <w:szCs w:val="32"/>
        </w:rPr>
        <w:t>财政拨款依存度＝财政拨款收入÷收入总额×100%</w:t>
      </w:r>
    </w:p>
    <w:sectPr w:rsidR="00272B54" w:rsidSect="00272B5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422" w:rsidRDefault="00176422" w:rsidP="00765932">
      <w:r>
        <w:separator/>
      </w:r>
    </w:p>
  </w:endnote>
  <w:endnote w:type="continuationSeparator" w:id="1">
    <w:p w:rsidR="00176422" w:rsidRDefault="00176422" w:rsidP="007659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charset w:val="86"/>
    <w:family w:val="modern"/>
    <w:pitch w:val="default"/>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422" w:rsidRDefault="00176422" w:rsidP="00765932">
      <w:r>
        <w:separator/>
      </w:r>
    </w:p>
  </w:footnote>
  <w:footnote w:type="continuationSeparator" w:id="1">
    <w:p w:rsidR="00176422" w:rsidRDefault="00176422" w:rsidP="007659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2B54"/>
    <w:rsid w:val="00074FA4"/>
    <w:rsid w:val="00176422"/>
    <w:rsid w:val="00272B54"/>
    <w:rsid w:val="00290AF5"/>
    <w:rsid w:val="00765932"/>
    <w:rsid w:val="00790985"/>
    <w:rsid w:val="007E481C"/>
    <w:rsid w:val="00A736FE"/>
    <w:rsid w:val="111F7999"/>
    <w:rsid w:val="23C80C72"/>
    <w:rsid w:val="55944CBE"/>
    <w:rsid w:val="5F0E7032"/>
    <w:rsid w:val="6E7D57A6"/>
    <w:rsid w:val="744028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2B5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659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65932"/>
    <w:rPr>
      <w:kern w:val="2"/>
      <w:sz w:val="18"/>
      <w:szCs w:val="18"/>
    </w:rPr>
  </w:style>
  <w:style w:type="paragraph" w:styleId="a4">
    <w:name w:val="footer"/>
    <w:basedOn w:val="a"/>
    <w:link w:val="Char0"/>
    <w:rsid w:val="00765932"/>
    <w:pPr>
      <w:tabs>
        <w:tab w:val="center" w:pos="4153"/>
        <w:tab w:val="right" w:pos="8306"/>
      </w:tabs>
      <w:snapToGrid w:val="0"/>
      <w:jc w:val="left"/>
    </w:pPr>
    <w:rPr>
      <w:sz w:val="18"/>
      <w:szCs w:val="18"/>
    </w:rPr>
  </w:style>
  <w:style w:type="character" w:customStyle="1" w:styleId="Char0">
    <w:name w:val="页脚 Char"/>
    <w:basedOn w:val="a0"/>
    <w:link w:val="a4"/>
    <w:rsid w:val="0076593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325</Words>
  <Characters>1857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王瑜亮</cp:lastModifiedBy>
  <cp:revision>5</cp:revision>
  <dcterms:created xsi:type="dcterms:W3CDTF">2019-09-04T14:45:00Z</dcterms:created>
  <dcterms:modified xsi:type="dcterms:W3CDTF">2019-11-19T01:03:00Z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