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华文中宋" w:hAnsi="华文中宋" w:eastAsia="华文中宋"/>
          <w:color w:val="000000"/>
          <w:kern w:val="0"/>
          <w:szCs w:val="21"/>
        </w:rPr>
      </w:pPr>
    </w:p>
    <w:p>
      <w:pPr>
        <w:widowControl/>
        <w:snapToGrid w:val="0"/>
        <w:spacing w:line="360" w:lineRule="auto"/>
        <w:jc w:val="center"/>
        <w:rPr>
          <w:rFonts w:ascii="华文中宋" w:hAnsi="华文中宋" w:eastAsia="华文中宋"/>
          <w:color w:val="000000"/>
          <w:kern w:val="0"/>
          <w:sz w:val="36"/>
          <w:szCs w:val="36"/>
        </w:rPr>
      </w:pPr>
      <w:r>
        <w:rPr>
          <w:rFonts w:hint="eastAsia" w:ascii="华文中宋" w:hAnsi="华文中宋" w:eastAsia="华文中宋"/>
          <w:color w:val="000000"/>
          <w:kern w:val="0"/>
          <w:sz w:val="36"/>
          <w:szCs w:val="36"/>
        </w:rPr>
        <w:t>2019年度部门决算报表及相关资料变动情况</w:t>
      </w:r>
    </w:p>
    <w:p>
      <w:pPr>
        <w:widowControl/>
        <w:snapToGrid w:val="0"/>
        <w:spacing w:line="360" w:lineRule="auto"/>
        <w:jc w:val="center"/>
        <w:rPr>
          <w:rFonts w:ascii="仿宋_GB2312" w:hAnsi="仿宋_GB2312" w:eastAsia="仿宋_GB2312" w:cs="仿宋_GB2312"/>
          <w:color w:val="000000"/>
          <w:kern w:val="0"/>
          <w:sz w:val="28"/>
          <w:szCs w:val="28"/>
        </w:rPr>
      </w:pPr>
    </w:p>
    <w:p>
      <w:pPr>
        <w:widowControl/>
        <w:snapToGrid w:val="0"/>
        <w:spacing w:line="580" w:lineRule="exact"/>
        <w:ind w:firstLine="640" w:firstLineChars="200"/>
        <w:jc w:val="left"/>
        <w:rPr>
          <w:rFonts w:ascii="黑体" w:eastAsia="黑体"/>
          <w:color w:val="000000"/>
          <w:kern w:val="0"/>
          <w:sz w:val="32"/>
          <w:szCs w:val="32"/>
        </w:rPr>
      </w:pPr>
      <w:r>
        <w:rPr>
          <w:rFonts w:hint="eastAsia" w:ascii="黑体" w:eastAsia="黑体"/>
          <w:color w:val="000000"/>
          <w:kern w:val="0"/>
          <w:sz w:val="32"/>
          <w:szCs w:val="32"/>
        </w:rPr>
        <w:t>一、关于部门决算报表及编制说明</w:t>
      </w:r>
    </w:p>
    <w:p>
      <w:pPr>
        <w:widowControl/>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2019年度部门决算基础数据表共22张，比上年减少4张。其中：主表18张，比上年减少3张；附表4张，比上年减少1张。</w:t>
      </w:r>
    </w:p>
    <w:p>
      <w:pPr>
        <w:widowControl/>
        <w:snapToGrid w:val="0"/>
        <w:spacing w:line="580" w:lineRule="exact"/>
        <w:ind w:firstLine="640" w:firstLineChars="200"/>
        <w:jc w:val="left"/>
        <w:rPr>
          <w:rFonts w:ascii="仿宋_GB2312" w:hAnsi="仿宋_GB2312" w:eastAsia="仿宋_GB2312" w:cs="仿宋_GB2312"/>
          <w:kern w:val="0"/>
          <w:sz w:val="32"/>
          <w:szCs w:val="32"/>
        </w:rPr>
      </w:pPr>
    </w:p>
    <w:tbl>
      <w:tblPr>
        <w:tblStyle w:val="5"/>
        <w:tblW w:w="85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488"/>
        <w:gridCol w:w="3891"/>
        <w:gridCol w:w="31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479" w:hRule="atLeast"/>
          <w:tblHeader/>
        </w:trPr>
        <w:tc>
          <w:tcPr>
            <w:tcW w:w="1488" w:type="dxa"/>
            <w:tcMar>
              <w:top w:w="0" w:type="dxa"/>
              <w:left w:w="108" w:type="dxa"/>
              <w:bottom w:w="0" w:type="dxa"/>
              <w:right w:w="108" w:type="dxa"/>
            </w:tcMar>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b/>
                <w:bCs/>
                <w:kern w:val="0"/>
                <w:sz w:val="24"/>
              </w:rPr>
              <w:t>项目</w:t>
            </w:r>
          </w:p>
        </w:tc>
        <w:tc>
          <w:tcPr>
            <w:tcW w:w="3891" w:type="dxa"/>
            <w:tcMar>
              <w:top w:w="0" w:type="dxa"/>
              <w:left w:w="108" w:type="dxa"/>
              <w:bottom w:w="0" w:type="dxa"/>
              <w:right w:w="108" w:type="dxa"/>
            </w:tcMar>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b/>
                <w:bCs/>
                <w:kern w:val="0"/>
                <w:sz w:val="24"/>
              </w:rPr>
              <w:t>调整内容</w:t>
            </w:r>
          </w:p>
        </w:tc>
        <w:tc>
          <w:tcPr>
            <w:tcW w:w="3143" w:type="dxa"/>
            <w:tcMar>
              <w:top w:w="0" w:type="dxa"/>
              <w:left w:w="108" w:type="dxa"/>
              <w:bottom w:w="0" w:type="dxa"/>
              <w:right w:w="108" w:type="dxa"/>
            </w:tcMar>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b/>
                <w:bCs/>
                <w:kern w:val="0"/>
                <w:sz w:val="24"/>
              </w:rPr>
              <w:t>调整依据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405" w:hRule="atLeast"/>
        </w:trPr>
        <w:tc>
          <w:tcPr>
            <w:tcW w:w="1488" w:type="dxa"/>
            <w:tcBorders>
              <w:bottom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封面</w:t>
            </w:r>
          </w:p>
        </w:tc>
        <w:tc>
          <w:tcPr>
            <w:tcW w:w="3891" w:type="dxa"/>
            <w:tcBorders>
              <w:bottom w:val="single" w:color="auto" w:sz="8" w:space="0"/>
            </w:tcBorders>
            <w:tcMar>
              <w:top w:w="0" w:type="dxa"/>
              <w:left w:w="108" w:type="dxa"/>
              <w:bottom w:w="0" w:type="dxa"/>
              <w:right w:w="108" w:type="dxa"/>
            </w:tcMar>
            <w:vAlign w:val="center"/>
          </w:tcPr>
          <w:p>
            <w:pPr>
              <w:ind w:firstLine="241" w:firstLineChars="100"/>
              <w:rPr>
                <w:rFonts w:ascii="仿宋_GB2312" w:eastAsia="仿宋_GB2312"/>
                <w:b/>
                <w:sz w:val="24"/>
              </w:rPr>
            </w:pPr>
            <w:r>
              <w:rPr>
                <w:rFonts w:hint="eastAsia" w:ascii="仿宋_GB2312" w:eastAsia="仿宋_GB2312"/>
                <w:b/>
                <w:sz w:val="24"/>
              </w:rPr>
              <w:t>一、报表格式</w:t>
            </w:r>
          </w:p>
          <w:p>
            <w:pPr>
              <w:ind w:firstLine="240" w:firstLineChars="100"/>
              <w:rPr>
                <w:rFonts w:ascii="仿宋_GB2312" w:eastAsia="仿宋_GB2312"/>
                <w:sz w:val="24"/>
              </w:rPr>
            </w:pPr>
            <w:r>
              <w:rPr>
                <w:rFonts w:hint="eastAsia" w:ascii="仿宋_GB2312" w:eastAsia="仿宋_GB2312"/>
                <w:sz w:val="24"/>
              </w:rPr>
              <w:t>1.单位执行会计制度调整为“政府会计制度、民间非营利组织会计制度、企业会计制度、其他”四项，删除原行政事业单位会计制度选项</w:t>
            </w:r>
          </w:p>
          <w:p>
            <w:pPr>
              <w:ind w:firstLine="241" w:firstLineChars="100"/>
              <w:rPr>
                <w:rFonts w:ascii="仿宋_GB2312" w:eastAsia="仿宋_GB2312"/>
                <w:b/>
                <w:sz w:val="24"/>
              </w:rPr>
            </w:pPr>
            <w:r>
              <w:rPr>
                <w:rFonts w:hint="eastAsia" w:ascii="仿宋_GB2312" w:eastAsia="仿宋_GB2312"/>
                <w:b/>
                <w:sz w:val="24"/>
              </w:rPr>
              <w:t>二、编制说明及审核公式</w:t>
            </w:r>
          </w:p>
          <w:p>
            <w:pPr>
              <w:ind w:firstLine="240" w:firstLineChars="100"/>
              <w:rPr>
                <w:rFonts w:ascii="仿宋_GB2312" w:eastAsia="仿宋_GB2312"/>
                <w:sz w:val="24"/>
              </w:rPr>
            </w:pPr>
            <w:r>
              <w:rPr>
                <w:rFonts w:hint="eastAsia" w:ascii="仿宋_GB2312" w:eastAsia="仿宋_GB2312"/>
                <w:sz w:val="24"/>
              </w:rPr>
              <w:t>2.根据报表格式相应调整编制说明</w:t>
            </w:r>
          </w:p>
        </w:tc>
        <w:tc>
          <w:tcPr>
            <w:tcW w:w="3143" w:type="dxa"/>
            <w:tcBorders>
              <w:bottom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政府会计准则制度相关规定和要求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90" w:hRule="atLeast"/>
        </w:trPr>
        <w:tc>
          <w:tcPr>
            <w:tcW w:w="148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收入支出决算总表</w:t>
            </w:r>
          </w:p>
          <w:p>
            <w:pPr>
              <w:jc w:val="center"/>
              <w:rPr>
                <w:rFonts w:ascii="仿宋_GB2312" w:hAnsi="仿宋_GB2312" w:eastAsia="仿宋_GB2312" w:cs="仿宋_GB2312"/>
                <w:b/>
                <w:kern w:val="0"/>
                <w:sz w:val="22"/>
                <w:szCs w:val="21"/>
              </w:rPr>
            </w:pPr>
            <w:r>
              <w:rPr>
                <w:rFonts w:hint="eastAsia" w:ascii="仿宋_GB2312" w:hAnsi="仿宋_GB2312" w:eastAsia="仿宋_GB2312" w:cs="仿宋_GB2312"/>
                <w:b/>
                <w:kern w:val="0"/>
                <w:sz w:val="22"/>
                <w:szCs w:val="21"/>
              </w:rPr>
              <w:t>（财决01表）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财政拨款收入支出决算总表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（财决01-1表）</w:t>
            </w:r>
          </w:p>
        </w:tc>
        <w:tc>
          <w:tcPr>
            <w:tcW w:w="389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ind w:firstLine="241" w:firstLineChars="100"/>
              <w:rPr>
                <w:rFonts w:ascii="仿宋_GB2312" w:eastAsia="仿宋_GB2312"/>
                <w:b/>
                <w:sz w:val="24"/>
              </w:rPr>
            </w:pPr>
            <w:r>
              <w:rPr>
                <w:rFonts w:hint="eastAsia" w:ascii="仿宋_GB2312" w:eastAsia="仿宋_GB2312"/>
                <w:b/>
                <w:sz w:val="24"/>
              </w:rPr>
              <w:t>一、报表格式</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1.调整按功能分类列示的支出明细栏目</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2.按支出性质和经济分类中删除项目支出明细的“行政事业类项目”，保留“其中：基本建设类项目”</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3.收入支出决算总表中财政拨款收入调整为“一般公共预算财政拨款收入”和“政府性基金预算财政拨款收入”，删除“年初结转和结余”“结余分配”“年末结转和结余”的明细项</w:t>
            </w:r>
          </w:p>
          <w:p>
            <w:pPr>
              <w:ind w:firstLine="241" w:firstLineChars="100"/>
              <w:rPr>
                <w:rFonts w:ascii="仿宋_GB2312" w:eastAsia="仿宋_GB2312"/>
                <w:b/>
                <w:sz w:val="24"/>
              </w:rPr>
            </w:pPr>
            <w:r>
              <w:rPr>
                <w:rFonts w:hint="eastAsia" w:ascii="仿宋_GB2312" w:eastAsia="仿宋_GB2312"/>
                <w:b/>
                <w:sz w:val="24"/>
              </w:rPr>
              <w:t>二、编制说明及审核公式</w:t>
            </w:r>
          </w:p>
          <w:p>
            <w:pPr>
              <w:ind w:firstLine="240"/>
              <w:rPr>
                <w:rFonts w:ascii="仿宋_GB2312" w:eastAsia="仿宋_GB2312"/>
                <w:sz w:val="24"/>
              </w:rPr>
            </w:pPr>
            <w:r>
              <w:rPr>
                <w:rFonts w:hint="eastAsia" w:ascii="仿宋_GB2312" w:eastAsia="仿宋_GB2312"/>
                <w:sz w:val="24"/>
              </w:rPr>
              <w:t>4.根据报表格式相应调整编制说明及表内表间审核公式</w:t>
            </w:r>
          </w:p>
        </w:tc>
        <w:tc>
          <w:tcPr>
            <w:tcW w:w="314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1.《2019年政府收支分类科目》及有关修订文件</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2.2019年部门预算编报要求</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3.按照“依法依规、需求导向、简便适用”原则精简报表栏目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1574" w:hRule="atLeast"/>
        </w:trPr>
        <w:tc>
          <w:tcPr>
            <w:tcW w:w="1488" w:type="dxa"/>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收入支出决算表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2"/>
                <w:szCs w:val="21"/>
              </w:rPr>
              <w:t>（财决02表）</w:t>
            </w:r>
          </w:p>
        </w:tc>
        <w:tc>
          <w:tcPr>
            <w:tcW w:w="3891" w:type="dxa"/>
            <w:tcMar>
              <w:top w:w="0" w:type="dxa"/>
              <w:left w:w="108" w:type="dxa"/>
              <w:bottom w:w="0" w:type="dxa"/>
              <w:right w:w="108" w:type="dxa"/>
            </w:tcMar>
            <w:vAlign w:val="center"/>
          </w:tcPr>
          <w:p>
            <w:pPr>
              <w:ind w:firstLine="241" w:firstLineChars="100"/>
              <w:rPr>
                <w:rFonts w:ascii="仿宋_GB2312" w:eastAsia="仿宋_GB2312"/>
                <w:b/>
                <w:sz w:val="24"/>
              </w:rPr>
            </w:pPr>
            <w:r>
              <w:rPr>
                <w:rFonts w:hint="eastAsia" w:ascii="仿宋_GB2312" w:eastAsia="仿宋_GB2312"/>
                <w:b/>
                <w:sz w:val="24"/>
              </w:rPr>
              <w:t>报表格式</w:t>
            </w:r>
          </w:p>
          <w:p>
            <w:pPr>
              <w:ind w:firstLine="240" w:firstLineChars="100"/>
              <w:rPr>
                <w:rFonts w:ascii="仿宋_GB2312" w:eastAsia="仿宋_GB2312"/>
                <w:sz w:val="24"/>
              </w:rPr>
            </w:pPr>
            <w:r>
              <w:rPr>
                <w:rFonts w:hint="eastAsia" w:ascii="仿宋_GB2312" w:hAnsi="仿宋_GB2312" w:eastAsia="仿宋_GB2312" w:cs="仿宋_GB2312"/>
                <w:kern w:val="0"/>
                <w:sz w:val="24"/>
              </w:rPr>
              <w:t>“结余分配”的明细栏目调整为“交纳所得税、提取专用基金、转入事业基金、其他”</w:t>
            </w:r>
          </w:p>
        </w:tc>
        <w:tc>
          <w:tcPr>
            <w:tcW w:w="3143" w:type="dxa"/>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1.2019年部门预算编报要求</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2.《事业单位财务规则》</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3.政府会计准则制度相关规定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1476" w:hRule="atLeast"/>
        </w:trPr>
        <w:tc>
          <w:tcPr>
            <w:tcW w:w="1488" w:type="dxa"/>
            <w:tcBorders>
              <w:bottom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收入决算表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2"/>
                <w:szCs w:val="21"/>
              </w:rPr>
              <w:t>（财决</w:t>
            </w:r>
            <w:r>
              <w:rPr>
                <w:rFonts w:ascii="仿宋_GB2312" w:hAnsi="仿宋_GB2312" w:eastAsia="仿宋_GB2312" w:cs="仿宋_GB2312"/>
                <w:b/>
                <w:kern w:val="0"/>
                <w:sz w:val="22"/>
                <w:szCs w:val="21"/>
              </w:rPr>
              <w:t>03表）</w:t>
            </w:r>
          </w:p>
        </w:tc>
        <w:tc>
          <w:tcPr>
            <w:tcW w:w="3891" w:type="dxa"/>
            <w:tcBorders>
              <w:bottom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报表格式</w:t>
            </w:r>
          </w:p>
          <w:p>
            <w:pPr>
              <w:ind w:firstLine="240"/>
              <w:rPr>
                <w:rFonts w:ascii="仿宋_GB2312" w:hAnsi="仿宋_GB2312" w:eastAsia="仿宋_GB2312" w:cs="仿宋_GB2312"/>
                <w:b/>
                <w:kern w:val="0"/>
                <w:sz w:val="24"/>
              </w:rPr>
            </w:pPr>
            <w:r>
              <w:rPr>
                <w:rFonts w:hint="eastAsia" w:ascii="仿宋_GB2312" w:hAnsi="仿宋_GB2312" w:eastAsia="仿宋_GB2312" w:cs="仿宋_GB2312"/>
                <w:b w:val="0"/>
                <w:bCs/>
                <w:kern w:val="0"/>
                <w:sz w:val="24"/>
              </w:rPr>
              <w:t>事业收入下增加一栏“其中：教育收费”</w:t>
            </w:r>
          </w:p>
        </w:tc>
        <w:tc>
          <w:tcPr>
            <w:tcW w:w="3143" w:type="dxa"/>
            <w:tcBorders>
              <w:bottom w:val="single" w:color="auto" w:sz="4"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2019年部门预算编报要求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150" w:hRule="atLeast"/>
        </w:trPr>
        <w:tc>
          <w:tcPr>
            <w:tcW w:w="1488" w:type="dxa"/>
            <w:tcBorders>
              <w:bottom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支出决算明细表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2"/>
                <w:szCs w:val="21"/>
              </w:rPr>
              <w:t>（财决05表）</w:t>
            </w:r>
          </w:p>
        </w:tc>
        <w:tc>
          <w:tcPr>
            <w:tcW w:w="3891" w:type="dxa"/>
            <w:tcBorders>
              <w:bottom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1.支出决算明细表调整为由基本支出、项目支出和经营支出3张明细表汇总</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firstLineChars="100"/>
              <w:rPr>
                <w:rFonts w:ascii="仿宋_GB2312" w:eastAsia="仿宋_GB2312"/>
                <w:b/>
                <w:sz w:val="24"/>
              </w:rPr>
            </w:pPr>
            <w:r>
              <w:rPr>
                <w:rFonts w:hint="eastAsia" w:ascii="仿宋_GB2312" w:hAnsi="仿宋_GB2312" w:eastAsia="仿宋_GB2312" w:cs="仿宋_GB2312"/>
                <w:kern w:val="0"/>
                <w:sz w:val="24"/>
              </w:rPr>
              <w:t>2.根据报表格式相应调整编制说明及表内表间审核公式</w:t>
            </w:r>
          </w:p>
        </w:tc>
        <w:tc>
          <w:tcPr>
            <w:tcW w:w="3143" w:type="dxa"/>
            <w:tcBorders>
              <w:bottom w:val="single" w:color="auto" w:sz="4"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政府会计准则制度相关规定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929" w:hRule="atLeast"/>
        </w:trPr>
        <w:tc>
          <w:tcPr>
            <w:tcW w:w="1488" w:type="dxa"/>
            <w:tcBorders>
              <w:top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项目支出决算明细表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（财决05-2表）</w:t>
            </w:r>
          </w:p>
        </w:tc>
        <w:tc>
          <w:tcPr>
            <w:tcW w:w="3891" w:type="dxa"/>
            <w:tcBorders>
              <w:top w:val="single" w:color="auto" w:sz="4" w:space="0"/>
              <w:bottom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1.“项目”下增加明细栏目“二级项目名称、二级项目代码、二级项目类别、一级项目名称、一级项目代码、基建项目属性”，</w:t>
            </w:r>
            <w:r>
              <w:rPr>
                <w:rFonts w:hint="eastAsia" w:ascii="仿宋_GB2312" w:hAnsi="仿宋_GB2312" w:eastAsia="仿宋_GB2312" w:cs="仿宋_GB2312"/>
                <w:kern w:val="0"/>
                <w:sz w:val="24"/>
                <w:lang w:eastAsia="zh-CN"/>
              </w:rPr>
              <w:t>并</w:t>
            </w:r>
            <w:r>
              <w:rPr>
                <w:rFonts w:hint="eastAsia" w:ascii="仿宋_GB2312" w:hAnsi="仿宋_GB2312" w:eastAsia="仿宋_GB2312" w:cs="仿宋_GB2312"/>
                <w:kern w:val="0"/>
                <w:sz w:val="24"/>
              </w:rPr>
              <w:t>改为按照具体项目填报</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2.根据报表格式相应调整编制说明及表内表间审核公式</w:t>
            </w:r>
          </w:p>
        </w:tc>
        <w:tc>
          <w:tcPr>
            <w:tcW w:w="3143" w:type="dxa"/>
            <w:tcBorders>
              <w:top w:val="single" w:color="auto" w:sz="4"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1.2019年部门预算编报要求</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2.</w:t>
            </w:r>
            <w:r>
              <w:rPr>
                <w:rFonts w:hint="eastAsia" w:ascii="仿宋_GB2312" w:hAnsi="仿宋_GB2312" w:eastAsia="仿宋_GB2312" w:cs="仿宋_GB2312"/>
                <w:kern w:val="0"/>
                <w:sz w:val="24"/>
              </w:rPr>
              <w:t>按照“依法依规、需求导向、简便适用”原则，将原填报说明附表信息整合并入本表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596" w:hRule="atLeast"/>
        </w:trPr>
        <w:tc>
          <w:tcPr>
            <w:tcW w:w="1488" w:type="dxa"/>
            <w:tcBorders>
              <w:bottom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经营支出决算明细表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（财决05-3表）</w:t>
            </w:r>
          </w:p>
        </w:tc>
        <w:tc>
          <w:tcPr>
            <w:tcW w:w="3891" w:type="dxa"/>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1.本表为新增报表，根据单位经营支出明细账的发生数，按支出功能分类科目分“类”“款”“项”填列</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2.根据报表格式相应增加编制说明及表内表间审核公式</w:t>
            </w:r>
          </w:p>
        </w:tc>
        <w:tc>
          <w:tcPr>
            <w:tcW w:w="3143" w:type="dxa"/>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1.政府会计准则制度相关规定</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2.《2019年政府收支分类科目》及有关修订文件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4658" w:hRule="atLeast"/>
        </w:trPr>
        <w:tc>
          <w:tcPr>
            <w:tcW w:w="1488" w:type="dxa"/>
            <w:tcBorders>
              <w:bottom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项目收入支出决算表</w:t>
            </w:r>
          </w:p>
          <w:p>
            <w:pPr>
              <w:jc w:val="center"/>
              <w:rPr>
                <w:rFonts w:ascii="仿宋_GB2312" w:hAnsi="仿宋_GB2312" w:eastAsia="仿宋_GB2312" w:cs="仿宋_GB2312"/>
                <w:b/>
                <w:kern w:val="0"/>
                <w:sz w:val="22"/>
                <w:szCs w:val="21"/>
              </w:rPr>
            </w:pPr>
            <w:r>
              <w:rPr>
                <w:rFonts w:hint="eastAsia" w:ascii="仿宋_GB2312" w:hAnsi="仿宋_GB2312" w:eastAsia="仿宋_GB2312" w:cs="仿宋_GB2312"/>
                <w:b/>
                <w:kern w:val="0"/>
                <w:sz w:val="22"/>
                <w:szCs w:val="21"/>
              </w:rPr>
              <w:t>（财决06表）</w:t>
            </w:r>
          </w:p>
          <w:p>
            <w:pPr>
              <w:jc w:val="center"/>
              <w:rPr>
                <w:rFonts w:ascii="仿宋_GB2312" w:hAnsi="仿宋_GB2312" w:eastAsia="仿宋_GB2312" w:cs="仿宋_GB2312"/>
                <w:b/>
                <w:kern w:val="0"/>
                <w:sz w:val="24"/>
              </w:rPr>
            </w:pPr>
          </w:p>
        </w:tc>
        <w:tc>
          <w:tcPr>
            <w:tcW w:w="3891" w:type="dxa"/>
            <w:tcBorders>
              <w:bottom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1.将原“行政事业类项目收入支出决算表”（原财决06-1表）和原“基本建设类项目收入支出决算表”（原财决06-2表）有关内容整合并入本表</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2.“项目”下增加明细栏目“二级项目名称、二级项目代码、二级项目类别、一级项目名称、一级项目代码、基建项目属性”，按照具体项目填报</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3.收支明细均删除“财政专户管理资金”栏目</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rPr>
                <w:rFonts w:ascii="仿宋_GB2312" w:hAnsi="仿宋_GB2312" w:eastAsia="仿宋_GB2312" w:cs="仿宋_GB2312"/>
                <w:b/>
                <w:kern w:val="0"/>
                <w:sz w:val="24"/>
              </w:rPr>
            </w:pPr>
            <w:r>
              <w:rPr>
                <w:rFonts w:hint="eastAsia" w:ascii="仿宋_GB2312" w:hAnsi="仿宋_GB2312" w:eastAsia="仿宋_GB2312" w:cs="仿宋_GB2312"/>
                <w:kern w:val="0"/>
                <w:sz w:val="24"/>
              </w:rPr>
              <w:t>4.根据报表格式相应调整编制说明及表内表间审核公式</w:t>
            </w:r>
          </w:p>
        </w:tc>
        <w:tc>
          <w:tcPr>
            <w:tcW w:w="3143" w:type="dxa"/>
            <w:tcBorders>
              <w:bottom w:val="single" w:color="auto" w:sz="4"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按照“依法依规、需求导向、简便适用”原则，结合部门预算管理需要，精简整合相关报表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1453" w:hRule="atLeast"/>
        </w:trPr>
        <w:tc>
          <w:tcPr>
            <w:tcW w:w="1488" w:type="dxa"/>
            <w:tcBorders>
              <w:bottom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18"/>
                <w:szCs w:val="16"/>
              </w:rPr>
            </w:pPr>
          </w:p>
        </w:tc>
        <w:tc>
          <w:tcPr>
            <w:tcW w:w="3891" w:type="dxa"/>
            <w:tcBorders>
              <w:bottom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删除原“行政事业类项目收入支出决算表”（原财决06-1表）和原“基本建设类项目收入支出决算表”（原财决06-2表）</w:t>
            </w:r>
          </w:p>
        </w:tc>
        <w:tc>
          <w:tcPr>
            <w:tcW w:w="3143" w:type="dxa"/>
            <w:tcBorders>
              <w:bottom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按照“依法依规、需求导向、简便适用”原则，结合部门预算管理需要，精简整合相关报表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940" w:hRule="atLeast"/>
        </w:trPr>
        <w:tc>
          <w:tcPr>
            <w:tcW w:w="1488" w:type="dxa"/>
            <w:tcBorders>
              <w:bottom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一般公共预算财政拨款项目支出明细表</w:t>
            </w:r>
          </w:p>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（财决08-2表）</w:t>
            </w:r>
          </w:p>
        </w:tc>
        <w:tc>
          <w:tcPr>
            <w:tcW w:w="3891" w:type="dxa"/>
            <w:tcBorders>
              <w:bottom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1.“项目”下增加明细栏目“二级项目名称、二级项目代码、二级项目类别、一级项目名称、一级项目代码、基建项目属性”，</w:t>
            </w:r>
            <w:r>
              <w:rPr>
                <w:rFonts w:hint="eastAsia" w:ascii="仿宋_GB2312" w:hAnsi="仿宋_GB2312" w:eastAsia="仿宋_GB2312" w:cs="仿宋_GB2312"/>
                <w:kern w:val="0"/>
                <w:sz w:val="24"/>
                <w:lang w:eastAsia="zh-CN"/>
              </w:rPr>
              <w:t>并</w:t>
            </w:r>
            <w:r>
              <w:rPr>
                <w:rFonts w:hint="eastAsia" w:ascii="仿宋_GB2312" w:hAnsi="仿宋_GB2312" w:eastAsia="仿宋_GB2312" w:cs="仿宋_GB2312"/>
                <w:kern w:val="0"/>
                <w:sz w:val="24"/>
              </w:rPr>
              <w:t>改为按照具体项目填报</w:t>
            </w:r>
            <w:r>
              <w:rPr>
                <w:rFonts w:ascii="仿宋_GB2312" w:hAnsi="仿宋_GB2312" w:eastAsia="仿宋_GB2312" w:cs="仿宋_GB2312"/>
                <w:kern w:val="0"/>
                <w:sz w:val="24"/>
              </w:rPr>
              <w:t xml:space="preserve"> </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2.根据报表格式相应调整编制说明及表内表间审核公式</w:t>
            </w:r>
          </w:p>
        </w:tc>
        <w:tc>
          <w:tcPr>
            <w:tcW w:w="3143" w:type="dxa"/>
            <w:tcBorders>
              <w:bottom w:val="single" w:color="auto" w:sz="8"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1.2019年部门预算编报要求</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2.</w:t>
            </w:r>
            <w:r>
              <w:rPr>
                <w:rFonts w:hint="eastAsia" w:ascii="仿宋_GB2312" w:hAnsi="仿宋_GB2312" w:eastAsia="仿宋_GB2312" w:cs="仿宋_GB2312"/>
                <w:kern w:val="0"/>
                <w:sz w:val="24"/>
              </w:rPr>
              <w:t>按照“依法依规、需求导向、简便适用”原则，将原填报说明附表信息整合并入本表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983" w:hRule="atLeast"/>
        </w:trPr>
        <w:tc>
          <w:tcPr>
            <w:tcW w:w="148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政府性基金预算财政拨款项目支出决算明细表</w:t>
            </w:r>
          </w:p>
          <w:p>
            <w:pPr>
              <w:jc w:val="center"/>
              <w:rPr>
                <w:rFonts w:ascii="仿宋_GB2312" w:hAnsi="仿宋_GB2312" w:eastAsia="仿宋_GB2312" w:cs="仿宋_GB2312"/>
                <w:b/>
                <w:strike/>
                <w:kern w:val="0"/>
                <w:sz w:val="24"/>
              </w:rPr>
            </w:pPr>
            <w:r>
              <w:rPr>
                <w:rFonts w:hint="eastAsia" w:ascii="仿宋_GB2312" w:hAnsi="仿宋_GB2312" w:eastAsia="仿宋_GB2312" w:cs="仿宋_GB2312"/>
                <w:b/>
                <w:kern w:val="0"/>
                <w:sz w:val="18"/>
                <w:szCs w:val="16"/>
              </w:rPr>
              <w:t>（财决10-2表）</w:t>
            </w:r>
          </w:p>
        </w:tc>
        <w:tc>
          <w:tcPr>
            <w:tcW w:w="389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1.“项目”下增加明细栏目“二级项目名称、二级项目代码、二级项目类别、一级项目名称、一级项目代码、基建项目属性”，</w:t>
            </w:r>
            <w:r>
              <w:rPr>
                <w:rFonts w:hint="eastAsia" w:ascii="仿宋_GB2312" w:hAnsi="仿宋_GB2312" w:eastAsia="仿宋_GB2312" w:cs="仿宋_GB2312"/>
                <w:kern w:val="0"/>
                <w:sz w:val="24"/>
                <w:lang w:eastAsia="zh-CN"/>
              </w:rPr>
              <w:t>并</w:t>
            </w:r>
            <w:r>
              <w:rPr>
                <w:rFonts w:hint="eastAsia" w:ascii="仿宋_GB2312" w:hAnsi="仿宋_GB2312" w:eastAsia="仿宋_GB2312" w:cs="仿宋_GB2312"/>
                <w:kern w:val="0"/>
                <w:sz w:val="24"/>
              </w:rPr>
              <w:t>改为按照具体项目填报</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ind w:firstLine="240"/>
              <w:rPr>
                <w:rFonts w:ascii="仿宋_GB2312" w:hAnsi="仿宋_GB2312" w:eastAsia="仿宋_GB2312" w:cs="仿宋_GB2312"/>
                <w:b/>
                <w:kern w:val="0"/>
                <w:sz w:val="24"/>
              </w:rPr>
            </w:pPr>
            <w:r>
              <w:rPr>
                <w:rFonts w:hint="eastAsia" w:ascii="仿宋_GB2312" w:hAnsi="仿宋_GB2312" w:eastAsia="仿宋_GB2312" w:cs="仿宋_GB2312"/>
                <w:kern w:val="0"/>
                <w:sz w:val="24"/>
              </w:rPr>
              <w:t>2.根据报表格式相应调整编制说明及表内表间审核公式</w:t>
            </w:r>
          </w:p>
        </w:tc>
        <w:tc>
          <w:tcPr>
            <w:tcW w:w="314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1.2019年部门预算编报要求</w:t>
            </w:r>
          </w:p>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2.</w:t>
            </w:r>
            <w:r>
              <w:rPr>
                <w:rFonts w:hint="eastAsia" w:ascii="仿宋_GB2312" w:hAnsi="仿宋_GB2312" w:eastAsia="仿宋_GB2312" w:cs="仿宋_GB2312"/>
                <w:kern w:val="0"/>
                <w:sz w:val="24"/>
              </w:rPr>
              <w:t>按照“依法依规、需求导向、简便适用”原则，将原填报说明附表信息整合并入本表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977" w:hRule="atLeast"/>
        </w:trPr>
        <w:tc>
          <w:tcPr>
            <w:tcW w:w="1488" w:type="dxa"/>
            <w:tcBorders>
              <w:top w:val="single" w:color="auto" w:sz="8"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p>
        </w:tc>
        <w:tc>
          <w:tcPr>
            <w:tcW w:w="3891" w:type="dxa"/>
            <w:tcBorders>
              <w:top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Cs/>
                <w:kern w:val="0"/>
                <w:sz w:val="24"/>
              </w:rPr>
              <w:t>删除原“财政专户管理资金收入支出决算表”（原财决11表）</w:t>
            </w:r>
          </w:p>
        </w:tc>
        <w:tc>
          <w:tcPr>
            <w:tcW w:w="3143" w:type="dxa"/>
            <w:tcBorders>
              <w:top w:val="single" w:color="auto" w:sz="8" w:space="0"/>
            </w:tcBorders>
            <w:tcMar>
              <w:top w:w="0" w:type="dxa"/>
              <w:left w:w="108" w:type="dxa"/>
              <w:bottom w:w="0" w:type="dxa"/>
              <w:right w:w="108" w:type="dxa"/>
            </w:tcMar>
            <w:vAlign w:val="center"/>
          </w:tcPr>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按照“依法依规、需求导向、简便适用”原则，精简数据需求少、使用率低报表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857" w:hRule="atLeast"/>
        </w:trPr>
        <w:tc>
          <w:tcPr>
            <w:tcW w:w="1488" w:type="dxa"/>
            <w:tcBorders>
              <w:bottom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p>
        </w:tc>
        <w:tc>
          <w:tcPr>
            <w:tcW w:w="3891" w:type="dxa"/>
            <w:tcBorders>
              <w:bottom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Cs/>
                <w:kern w:val="0"/>
                <w:sz w:val="24"/>
              </w:rPr>
              <w:t>删除原“资产负债简表”（原财决12表）</w:t>
            </w:r>
          </w:p>
        </w:tc>
        <w:tc>
          <w:tcPr>
            <w:tcW w:w="3143" w:type="dxa"/>
            <w:tcBorders>
              <w:bottom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统筹决算报告与财务报告反映内容，精简财务会计信息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1171" w:hRule="atLeast"/>
        </w:trPr>
        <w:tc>
          <w:tcPr>
            <w:tcW w:w="1488" w:type="dxa"/>
            <w:tcMar>
              <w:top w:w="0" w:type="dxa"/>
              <w:left w:w="108" w:type="dxa"/>
              <w:bottom w:w="0" w:type="dxa"/>
              <w:right w:w="108" w:type="dxa"/>
            </w:tcMar>
            <w:vAlign w:val="center"/>
          </w:tcPr>
          <w:p>
            <w:pPr>
              <w:jc w:val="center"/>
              <w:rPr>
                <w:rFonts w:ascii="仿宋_GB2312" w:hAnsi="仿宋_GB2312" w:eastAsia="仿宋_GB2312" w:cs="仿宋_GB2312"/>
                <w:b/>
                <w:kern w:val="0"/>
                <w:sz w:val="24"/>
              </w:rPr>
            </w:pPr>
          </w:p>
        </w:tc>
        <w:tc>
          <w:tcPr>
            <w:tcW w:w="3891" w:type="dxa"/>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kern w:val="0"/>
                <w:sz w:val="24"/>
              </w:rPr>
              <w:t>删除原“资产情况表”（原财决附01表）和原“国有资产收益征缴情况表”（原财决附02表）</w:t>
            </w:r>
          </w:p>
        </w:tc>
        <w:tc>
          <w:tcPr>
            <w:tcW w:w="3143" w:type="dxa"/>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统筹决算报告与行政事业单位国有资产报告反映内容，精简相关报表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137" w:hRule="atLeast"/>
        </w:trPr>
        <w:tc>
          <w:tcPr>
            <w:tcW w:w="1488" w:type="dxa"/>
            <w:tcBorders>
              <w:top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预算支出相关信息表</w:t>
            </w:r>
          </w:p>
          <w:p>
            <w:pPr>
              <w:widowControl/>
              <w:jc w:val="center"/>
              <w:rPr>
                <w:rFonts w:ascii="仿宋_GB2312" w:hAnsi="仿宋_GB2312" w:eastAsia="仿宋_GB2312" w:cs="仿宋_GB2312"/>
                <w:b/>
                <w:kern w:val="0"/>
                <w:sz w:val="18"/>
                <w:szCs w:val="16"/>
              </w:rPr>
            </w:pPr>
            <w:r>
              <w:rPr>
                <w:rFonts w:hint="eastAsia" w:ascii="仿宋_GB2312" w:hAnsi="仿宋_GB2312" w:eastAsia="仿宋_GB2312" w:cs="仿宋_GB2312"/>
                <w:b/>
                <w:kern w:val="0"/>
                <w:sz w:val="18"/>
                <w:szCs w:val="16"/>
              </w:rPr>
              <w:t>（财决附01表）</w:t>
            </w:r>
          </w:p>
        </w:tc>
        <w:tc>
          <w:tcPr>
            <w:tcW w:w="3891" w:type="dxa"/>
            <w:tcBorders>
              <w:top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1.本表为新增报表，根据单位有关会计账和资产台账信息填列</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widowControl/>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2.根据报表格式相应增加编制说明及表内表间审核公式</w:t>
            </w:r>
          </w:p>
        </w:tc>
        <w:tc>
          <w:tcPr>
            <w:tcW w:w="3143" w:type="dxa"/>
            <w:tcBorders>
              <w:top w:val="single" w:color="auto" w:sz="4" w:space="0"/>
            </w:tcBorders>
            <w:tcMar>
              <w:top w:w="0" w:type="dxa"/>
              <w:left w:w="108" w:type="dxa"/>
              <w:bottom w:w="0" w:type="dxa"/>
              <w:right w:w="108" w:type="dxa"/>
            </w:tcMar>
            <w:vAlign w:val="center"/>
          </w:tcPr>
          <w:p>
            <w:pPr>
              <w:widowControl/>
              <w:ind w:firstLine="218" w:firstLineChars="91"/>
              <w:rPr>
                <w:rFonts w:ascii="仿宋_GB2312" w:hAnsi="仿宋_GB2312" w:eastAsia="仿宋_GB2312" w:cs="仿宋_GB2312"/>
                <w:kern w:val="0"/>
                <w:sz w:val="24"/>
              </w:rPr>
            </w:pPr>
            <w:r>
              <w:rPr>
                <w:rFonts w:hint="eastAsia" w:ascii="仿宋_GB2312" w:hAnsi="仿宋_GB2312" w:eastAsia="仿宋_GB2312" w:cs="仿宋_GB2312"/>
                <w:kern w:val="0"/>
                <w:sz w:val="24"/>
              </w:rPr>
              <w:t>服务于预算管理需要，按照“依法依规、需求导向、简便适用”原则，将</w:t>
            </w:r>
            <w:r>
              <w:rPr>
                <w:rFonts w:hint="eastAsia" w:ascii="仿宋_GB2312" w:hAnsi="仿宋_GB2312" w:eastAsia="仿宋_GB2312" w:cs="仿宋_GB2312"/>
                <w:kern w:val="0"/>
                <w:sz w:val="24"/>
                <w:lang w:eastAsia="zh-CN"/>
              </w:rPr>
              <w:t>与</w:t>
            </w:r>
            <w:r>
              <w:rPr>
                <w:rFonts w:hint="eastAsia" w:ascii="仿宋_GB2312" w:hAnsi="仿宋_GB2312" w:eastAsia="仿宋_GB2312" w:cs="仿宋_GB2312"/>
                <w:kern w:val="0"/>
                <w:sz w:val="24"/>
              </w:rPr>
              <w:t>预算</w:t>
            </w:r>
            <w:r>
              <w:rPr>
                <w:rFonts w:hint="eastAsia" w:ascii="仿宋_GB2312" w:hAnsi="仿宋_GB2312" w:eastAsia="仿宋_GB2312" w:cs="仿宋_GB2312"/>
                <w:kern w:val="0"/>
                <w:sz w:val="24"/>
                <w:lang w:eastAsia="zh-CN"/>
              </w:rPr>
              <w:t>执行密切</w:t>
            </w:r>
            <w:r>
              <w:rPr>
                <w:rFonts w:hint="eastAsia" w:ascii="仿宋_GB2312" w:hAnsi="仿宋_GB2312" w:eastAsia="仿宋_GB2312" w:cs="仿宋_GB2312"/>
                <w:kern w:val="0"/>
                <w:sz w:val="24"/>
              </w:rPr>
              <w:t>相关的部分资产、负债和结转结余信息整合反映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1320" w:hRule="atLeast"/>
        </w:trPr>
        <w:tc>
          <w:tcPr>
            <w:tcW w:w="1488" w:type="dxa"/>
            <w:tcBorders>
              <w:top w:val="single" w:color="auto" w:sz="4" w:space="0"/>
            </w:tcBorders>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基本数字表</w:t>
            </w:r>
          </w:p>
          <w:p>
            <w:pPr>
              <w:widowControl/>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（财决附02表）</w:t>
            </w:r>
          </w:p>
        </w:tc>
        <w:tc>
          <w:tcPr>
            <w:tcW w:w="3891" w:type="dxa"/>
            <w:tcBorders>
              <w:top w:val="single" w:color="auto" w:sz="4" w:space="0"/>
            </w:tcBorders>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1.“年末机构数”调整为“独立编制机构数、独立核算机构数”</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2.取消“编制人数”各栏目</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3.将“政府性基金预算财政拨款开支人员”单列</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4.增加“在职人员”明细栏目“行政人员、参照公务员法管理事业人员、非参公事业人员”</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5.增加“年末其他人员”及其明细栏目</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6.增加“年末遗属人员”栏目</w:t>
            </w:r>
          </w:p>
          <w:p>
            <w:pPr>
              <w:widowControl/>
              <w:ind w:firstLine="241" w:firstLineChars="10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widowControl/>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7.根据报表格式相应调整编制说明及表内表间审核公式</w:t>
            </w:r>
          </w:p>
        </w:tc>
        <w:tc>
          <w:tcPr>
            <w:tcW w:w="3143" w:type="dxa"/>
            <w:tcBorders>
              <w:top w:val="single" w:color="auto" w:sz="4" w:space="0"/>
            </w:tcBorders>
            <w:tcMar>
              <w:top w:w="0" w:type="dxa"/>
              <w:left w:w="108" w:type="dxa"/>
              <w:bottom w:w="0" w:type="dxa"/>
              <w:right w:w="108" w:type="dxa"/>
            </w:tcMar>
            <w:vAlign w:val="center"/>
          </w:tcPr>
          <w:p>
            <w:pPr>
              <w:widowControl/>
              <w:ind w:firstLine="218" w:firstLineChars="91"/>
              <w:rPr>
                <w:rFonts w:ascii="仿宋_GB2312" w:hAnsi="仿宋_GB2312" w:eastAsia="仿宋_GB2312" w:cs="仿宋_GB2312"/>
                <w:kern w:val="0"/>
                <w:sz w:val="24"/>
              </w:rPr>
            </w:pPr>
            <w:r>
              <w:rPr>
                <w:rFonts w:hint="eastAsia" w:ascii="仿宋_GB2312" w:hAnsi="仿宋_GB2312" w:eastAsia="仿宋_GB2312" w:cs="仿宋_GB2312"/>
                <w:kern w:val="0"/>
                <w:sz w:val="24"/>
              </w:rPr>
              <w:t>服务于预算管理需要，按照“依法依规、需求导向、简便适用”原则，优化整合相关报表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589" w:hRule="atLeast"/>
        </w:trPr>
        <w:tc>
          <w:tcPr>
            <w:tcW w:w="1488" w:type="dxa"/>
            <w:tcMar>
              <w:top w:w="0" w:type="dxa"/>
              <w:left w:w="108" w:type="dxa"/>
              <w:bottom w:w="0" w:type="dxa"/>
              <w:right w:w="108" w:type="dxa"/>
            </w:tcMar>
            <w:vAlign w:val="center"/>
          </w:tcPr>
          <w:p>
            <w:pPr>
              <w:jc w:val="center"/>
              <w:rPr>
                <w:rFonts w:ascii="仿宋_GB2312" w:hAnsi="仿宋_GB2312" w:eastAsia="仿宋_GB2312" w:cs="仿宋_GB2312"/>
                <w:b/>
                <w:kern w:val="0"/>
                <w:sz w:val="24"/>
              </w:rPr>
            </w:pPr>
            <w:r>
              <w:rPr>
                <w:rFonts w:hint="eastAsia" w:ascii="仿宋_GB2312" w:hAnsi="仿宋_GB2312" w:eastAsia="仿宋_GB2312" w:cs="仿宋_GB2312"/>
                <w:b/>
                <w:kern w:val="0"/>
                <w:sz w:val="24"/>
              </w:rPr>
              <w:t>机构运行信息表</w:t>
            </w:r>
          </w:p>
          <w:p>
            <w:pPr>
              <w:widowControl/>
              <w:jc w:val="center"/>
              <w:rPr>
                <w:rFonts w:ascii="仿宋_GB2312" w:hAnsi="仿宋_GB2312" w:eastAsia="仿宋_GB2312" w:cs="仿宋_GB2312"/>
                <w:b/>
                <w:kern w:val="0"/>
                <w:sz w:val="24"/>
              </w:rPr>
            </w:pPr>
            <w:r>
              <w:rPr>
                <w:rFonts w:hint="eastAsia" w:ascii="仿宋_GB2312" w:hAnsi="仿宋_GB2312" w:eastAsia="仿宋_GB2312" w:cs="仿宋_GB2312"/>
                <w:b/>
                <w:kern w:val="0"/>
                <w:sz w:val="18"/>
                <w:szCs w:val="16"/>
              </w:rPr>
              <w:t>（财决附03表）</w:t>
            </w:r>
          </w:p>
        </w:tc>
        <w:tc>
          <w:tcPr>
            <w:tcW w:w="3891" w:type="dxa"/>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一、报表格式</w:t>
            </w:r>
          </w:p>
          <w:p>
            <w:pPr>
              <w:ind w:firstLine="240"/>
              <w:rPr>
                <w:rFonts w:ascii="仿宋_GB2312" w:hAnsi="仿宋_GB2312" w:eastAsia="仿宋_GB2312" w:cs="仿宋_GB2312"/>
                <w:kern w:val="0"/>
                <w:sz w:val="24"/>
              </w:rPr>
            </w:pPr>
            <w:r>
              <w:rPr>
                <w:rFonts w:hint="eastAsia" w:ascii="仿宋_GB2312" w:hAnsi="仿宋_GB2312" w:eastAsia="仿宋_GB2312" w:cs="仿宋_GB2312"/>
                <w:kern w:val="0"/>
                <w:sz w:val="24"/>
              </w:rPr>
              <w:t>1.本表为新增报表，主要反映“三公”经费、会议费、培训费、机关运行经费、部分固定资产情况、政府采购情况以及由养老保险基金发放养老金的离退休人员等</w:t>
            </w:r>
            <w:r>
              <w:rPr>
                <w:rFonts w:hint="eastAsia" w:ascii="仿宋_GB2312" w:hAnsi="仿宋_GB2312" w:eastAsia="仿宋_GB2312" w:cs="仿宋_GB2312"/>
                <w:kern w:val="0"/>
                <w:sz w:val="24"/>
                <w:lang w:eastAsia="zh-CN"/>
              </w:rPr>
              <w:t>机构运行</w:t>
            </w:r>
            <w:r>
              <w:rPr>
                <w:rFonts w:hint="eastAsia" w:ascii="仿宋_GB2312" w:hAnsi="仿宋_GB2312" w:eastAsia="仿宋_GB2312" w:cs="仿宋_GB2312"/>
                <w:kern w:val="0"/>
                <w:sz w:val="24"/>
              </w:rPr>
              <w:t>相关信息</w:t>
            </w:r>
          </w:p>
          <w:p>
            <w:pPr>
              <w:ind w:firstLine="240"/>
              <w:rPr>
                <w:rFonts w:ascii="仿宋_GB2312" w:hAnsi="仿宋_GB2312" w:eastAsia="仿宋_GB2312" w:cs="仿宋_GB2312"/>
                <w:b/>
                <w:kern w:val="0"/>
                <w:sz w:val="24"/>
              </w:rPr>
            </w:pPr>
            <w:r>
              <w:rPr>
                <w:rFonts w:hint="eastAsia" w:ascii="仿宋_GB2312" w:hAnsi="仿宋_GB2312" w:eastAsia="仿宋_GB2312" w:cs="仿宋_GB2312"/>
                <w:b/>
                <w:kern w:val="0"/>
                <w:sz w:val="24"/>
              </w:rPr>
              <w:t>二、编制说明及审核公式</w:t>
            </w:r>
          </w:p>
          <w:p>
            <w:pPr>
              <w:widowControl/>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2.根据报表格式相应增加编制说明及表内表间审核公式</w:t>
            </w:r>
          </w:p>
        </w:tc>
        <w:tc>
          <w:tcPr>
            <w:tcW w:w="3143" w:type="dxa"/>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服务于预算管理以及决算公开需要，按照“依法依规、需求导向、简便适用”原则，优化整合相关信息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400" w:hRule="atLeast"/>
        </w:trPr>
        <w:tc>
          <w:tcPr>
            <w:tcW w:w="1488" w:type="dxa"/>
            <w:tcMar>
              <w:top w:w="0" w:type="dxa"/>
              <w:left w:w="108" w:type="dxa"/>
              <w:bottom w:w="0" w:type="dxa"/>
              <w:right w:w="108" w:type="dxa"/>
            </w:tcMar>
            <w:vAlign w:val="center"/>
          </w:tcPr>
          <w:p>
            <w:pPr>
              <w:jc w:val="center"/>
              <w:rPr>
                <w:rFonts w:ascii="仿宋_GB2312" w:hAnsi="仿宋_GB2312" w:eastAsia="仿宋_GB2312" w:cs="仿宋_GB2312"/>
                <w:b/>
                <w:kern w:val="0"/>
                <w:sz w:val="24"/>
              </w:rPr>
            </w:pPr>
          </w:p>
        </w:tc>
        <w:tc>
          <w:tcPr>
            <w:tcW w:w="3891" w:type="dxa"/>
            <w:tcMar>
              <w:top w:w="0" w:type="dxa"/>
              <w:left w:w="108" w:type="dxa"/>
              <w:bottom w:w="0" w:type="dxa"/>
              <w:right w:w="108" w:type="dxa"/>
            </w:tcMar>
            <w:vAlign w:val="center"/>
          </w:tcPr>
          <w:p>
            <w:pPr>
              <w:ind w:firstLine="240"/>
              <w:rPr>
                <w:rFonts w:ascii="仿宋_GB2312" w:hAnsi="仿宋_GB2312" w:eastAsia="仿宋_GB2312" w:cs="仿宋_GB2312"/>
                <w:b/>
                <w:kern w:val="0"/>
                <w:sz w:val="24"/>
              </w:rPr>
            </w:pPr>
            <w:r>
              <w:rPr>
                <w:rFonts w:hint="eastAsia" w:ascii="仿宋_GB2312" w:hAnsi="仿宋_GB2312" w:eastAsia="仿宋_GB2312" w:cs="仿宋_GB2312"/>
                <w:kern w:val="0"/>
                <w:sz w:val="24"/>
              </w:rPr>
              <w:t>删除原“机构人员情况表”（原财决附04表）</w:t>
            </w:r>
          </w:p>
        </w:tc>
        <w:tc>
          <w:tcPr>
            <w:tcW w:w="3143" w:type="dxa"/>
            <w:tcMar>
              <w:top w:w="0" w:type="dxa"/>
              <w:left w:w="108" w:type="dxa"/>
              <w:bottom w:w="0" w:type="dxa"/>
              <w:right w:w="108" w:type="dxa"/>
            </w:tcMar>
            <w:vAlign w:val="center"/>
          </w:tcPr>
          <w:p>
            <w:pPr>
              <w:ind w:firstLine="240" w:firstLineChars="100"/>
              <w:rPr>
                <w:rFonts w:ascii="仿宋_GB2312" w:hAnsi="仿宋_GB2312" w:eastAsia="仿宋_GB2312" w:cs="仿宋_GB2312"/>
                <w:kern w:val="0"/>
                <w:sz w:val="24"/>
              </w:rPr>
            </w:pPr>
            <w:r>
              <w:rPr>
                <w:rFonts w:hint="eastAsia" w:ascii="仿宋_GB2312" w:hAnsi="仿宋_GB2312" w:eastAsia="仿宋_GB2312" w:cs="仿宋_GB2312"/>
                <w:kern w:val="0"/>
                <w:sz w:val="24"/>
              </w:rPr>
              <w:t>按照“依法依规、需求导向、简便适用”原则，优化精简相关报表</w:t>
            </w:r>
          </w:p>
        </w:tc>
      </w:tr>
    </w:tbl>
    <w:p>
      <w:pPr>
        <w:widowControl/>
        <w:snapToGrid w:val="0"/>
        <w:spacing w:before="100" w:beforeAutospacing="1" w:line="580" w:lineRule="exact"/>
        <w:ind w:firstLine="566" w:firstLineChars="177"/>
        <w:rPr>
          <w:rFonts w:ascii="黑体" w:hAnsi="黑体" w:eastAsia="黑体" w:cs="黑体"/>
          <w:color w:val="000000"/>
          <w:kern w:val="0"/>
          <w:sz w:val="32"/>
          <w:szCs w:val="32"/>
        </w:rPr>
      </w:pPr>
      <w:r>
        <w:rPr>
          <w:rFonts w:hint="eastAsia" w:ascii="黑体" w:hAnsi="黑体" w:eastAsia="黑体" w:cs="黑体"/>
          <w:color w:val="000000"/>
          <w:kern w:val="0"/>
          <w:sz w:val="32"/>
          <w:szCs w:val="32"/>
        </w:rPr>
        <w:t>二、关于会计科目与部门决算报表对应关系</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根据2019年度部门决算报表指标及</w:t>
      </w:r>
      <w:r>
        <w:rPr>
          <w:rFonts w:ascii="仿宋_GB2312" w:hAnsi="黑体" w:eastAsia="仿宋_GB2312" w:cs="黑体"/>
          <w:color w:val="000000"/>
          <w:kern w:val="0"/>
          <w:sz w:val="32"/>
          <w:szCs w:val="32"/>
        </w:rPr>
        <w:t>政府会计准则</w:t>
      </w:r>
      <w:r>
        <w:rPr>
          <w:rFonts w:hint="eastAsia" w:ascii="仿宋_GB2312" w:hAnsi="黑体" w:eastAsia="仿宋_GB2312" w:cs="黑体"/>
          <w:color w:val="000000"/>
          <w:kern w:val="0"/>
          <w:sz w:val="32"/>
          <w:szCs w:val="32"/>
        </w:rPr>
        <w:t>制度相关</w:t>
      </w:r>
      <w:r>
        <w:rPr>
          <w:rFonts w:ascii="仿宋_GB2312" w:hAnsi="黑体" w:eastAsia="仿宋_GB2312" w:cs="黑体"/>
          <w:color w:val="000000"/>
          <w:kern w:val="0"/>
          <w:sz w:val="32"/>
          <w:szCs w:val="32"/>
        </w:rPr>
        <w:t>要求</w:t>
      </w:r>
      <w:r>
        <w:rPr>
          <w:rFonts w:hint="eastAsia" w:ascii="仿宋_GB2312" w:hAnsi="黑体" w:eastAsia="仿宋_GB2312" w:cs="黑体"/>
          <w:color w:val="000000"/>
          <w:kern w:val="0"/>
          <w:sz w:val="32"/>
          <w:szCs w:val="32"/>
        </w:rPr>
        <w:t>，修改完善</w:t>
      </w:r>
      <w:r>
        <w:rPr>
          <w:rFonts w:ascii="仿宋_GB2312" w:hAnsi="黑体" w:eastAsia="仿宋_GB2312" w:cs="黑体"/>
          <w:color w:val="000000"/>
          <w:kern w:val="0"/>
          <w:sz w:val="32"/>
          <w:szCs w:val="32"/>
        </w:rPr>
        <w:t>了</w:t>
      </w:r>
      <w:r>
        <w:rPr>
          <w:rFonts w:hint="eastAsia" w:ascii="仿宋_GB2312" w:hAnsi="黑体" w:eastAsia="仿宋_GB2312" w:cs="黑体"/>
          <w:color w:val="000000"/>
          <w:kern w:val="0"/>
          <w:sz w:val="32"/>
          <w:szCs w:val="32"/>
        </w:rPr>
        <w:t>相关会计制度科目与部门决算报表栏目的对应关系。</w:t>
      </w:r>
    </w:p>
    <w:p>
      <w:pPr>
        <w:widowControl/>
        <w:snapToGrid w:val="0"/>
        <w:spacing w:line="580" w:lineRule="exact"/>
        <w:ind w:firstLine="566" w:firstLineChars="177"/>
        <w:rPr>
          <w:rFonts w:ascii="黑体" w:hAnsi="黑体" w:eastAsia="黑体" w:cs="黑体"/>
          <w:color w:val="000000"/>
          <w:kern w:val="0"/>
          <w:sz w:val="32"/>
          <w:szCs w:val="32"/>
        </w:rPr>
      </w:pPr>
      <w:r>
        <w:rPr>
          <w:rFonts w:hint="eastAsia" w:ascii="黑体" w:hAnsi="黑体" w:eastAsia="黑体" w:cs="黑体"/>
          <w:color w:val="000000"/>
          <w:kern w:val="0"/>
          <w:sz w:val="32"/>
          <w:szCs w:val="32"/>
        </w:rPr>
        <w:t>三、关于部门决算报表填报说明</w:t>
      </w:r>
    </w:p>
    <w:p>
      <w:pPr>
        <w:spacing w:line="58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rPr>
        <w:t>.根据报表指标变动情况，修改完善决算信息来源等说明事项。</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2.根据政府会计准则制度规定，将“年初结转和结余调整情况表”中</w:t>
      </w:r>
      <w:r>
        <w:rPr>
          <w:rFonts w:ascii="仿宋_GB2312" w:hAnsi="仿宋_GB2312" w:eastAsia="仿宋_GB2312" w:cs="仿宋_GB2312"/>
          <w:color w:val="000000" w:themeColor="text1"/>
          <w:sz w:val="32"/>
          <w:szCs w:val="32"/>
        </w:rPr>
        <w:t>的</w:t>
      </w:r>
      <w:r>
        <w:rPr>
          <w:rFonts w:hint="eastAsia" w:ascii="仿宋_GB2312" w:hAnsi="仿宋_GB2312" w:eastAsia="仿宋_GB2312" w:cs="仿宋_GB2312"/>
          <w:color w:val="000000" w:themeColor="text1"/>
          <w:sz w:val="32"/>
          <w:szCs w:val="32"/>
        </w:rPr>
        <w:t>变动项目调整为会计差错更正、收回以前年度支出、归集调入、归集调出、归集上缴和缴回资金及单位内部调剂等。</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3.根据报表指标变动情况，相应修改“主要指标变动情况表”指标设置，删除人员编制、机构性质等指标。</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4.根据</w:t>
      </w:r>
      <w:r>
        <w:rPr>
          <w:rFonts w:ascii="仿宋_GB2312" w:hAnsi="仿宋_GB2312" w:eastAsia="仿宋_GB2312" w:cs="仿宋_GB2312"/>
          <w:color w:val="000000" w:themeColor="text1"/>
          <w:sz w:val="32"/>
          <w:szCs w:val="32"/>
        </w:rPr>
        <w:t>部门预算管理及</w:t>
      </w:r>
      <w:r>
        <w:rPr>
          <w:rFonts w:hint="eastAsia" w:ascii="仿宋_GB2312" w:hAnsi="仿宋_GB2312" w:eastAsia="仿宋_GB2312" w:cs="仿宋_GB2312"/>
          <w:color w:val="000000" w:themeColor="text1"/>
          <w:sz w:val="32"/>
          <w:szCs w:val="32"/>
        </w:rPr>
        <w:t>政府会计准则制度实施相关要求</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精简整合填报</w:t>
      </w:r>
      <w:r>
        <w:rPr>
          <w:rFonts w:ascii="仿宋_GB2312" w:hAnsi="仿宋_GB2312" w:eastAsia="仿宋_GB2312" w:cs="仿宋_GB2312"/>
          <w:color w:val="000000" w:themeColor="text1"/>
          <w:sz w:val="32"/>
          <w:szCs w:val="32"/>
        </w:rPr>
        <w:t>说明附表</w:t>
      </w:r>
      <w:r>
        <w:rPr>
          <w:rFonts w:hint="eastAsia" w:ascii="仿宋_GB2312" w:hAnsi="仿宋_GB2312" w:eastAsia="仿宋_GB2312" w:cs="仿宋_GB2312"/>
          <w:color w:val="000000" w:themeColor="text1"/>
          <w:sz w:val="32"/>
          <w:szCs w:val="32"/>
        </w:rPr>
        <w:t>，删除“资产负债简表年初数变动情况表”“部门决算相关信息统计表”“项目支出明细表”“一般公共预算财政拨款项目支出明细表”“政府性基金预算财政拨款项目支出明细表”</w:t>
      </w:r>
      <w:r>
        <w:rPr>
          <w:rFonts w:hint="eastAsia" w:ascii="仿宋_GB2312" w:hAnsi="仿宋_GB2312" w:eastAsia="仿宋_GB2312" w:cs="仿宋_GB2312"/>
          <w:color w:val="000000" w:themeColor="text1"/>
          <w:sz w:val="32"/>
          <w:szCs w:val="32"/>
          <w:lang w:eastAsia="zh-CN"/>
        </w:rPr>
        <w:t>等</w:t>
      </w:r>
      <w:r>
        <w:rPr>
          <w:rFonts w:hint="eastAsia" w:ascii="仿宋_GB2312" w:hAnsi="仿宋_GB2312" w:eastAsia="仿宋_GB2312" w:cs="仿宋_GB2312"/>
          <w:color w:val="000000" w:themeColor="text1"/>
          <w:sz w:val="32"/>
          <w:szCs w:val="32"/>
          <w:lang w:val="en-US" w:eastAsia="zh-CN"/>
        </w:rPr>
        <w:t>5张统计表</w:t>
      </w:r>
      <w:r>
        <w:rPr>
          <w:rFonts w:hint="eastAsia" w:ascii="仿宋_GB2312" w:hAnsi="仿宋_GB2312" w:eastAsia="仿宋_GB2312" w:cs="仿宋_GB2312"/>
          <w:color w:val="000000" w:themeColor="text1"/>
          <w:sz w:val="32"/>
          <w:szCs w:val="32"/>
        </w:rPr>
        <w:t>。</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5.根据部门决算报表修订情况，删除1张年末实有在职人员情况审核模板，增加1张“年末人数填报规范性”审核模板，修改“结余分配情况”审核模板。</w:t>
      </w:r>
    </w:p>
    <w:p>
      <w:pPr>
        <w:widowControl/>
        <w:snapToGrid w:val="0"/>
        <w:spacing w:line="580" w:lineRule="exact"/>
        <w:ind w:firstLine="566" w:firstLineChars="177"/>
        <w:rPr>
          <w:rFonts w:ascii="黑体" w:hAnsi="黑体" w:eastAsia="黑体" w:cs="黑体"/>
          <w:color w:val="000000"/>
          <w:kern w:val="0"/>
          <w:sz w:val="32"/>
          <w:szCs w:val="32"/>
        </w:rPr>
      </w:pPr>
      <w:r>
        <w:rPr>
          <w:rFonts w:hint="eastAsia" w:ascii="黑体" w:hAnsi="黑体" w:eastAsia="黑体" w:cs="黑体"/>
          <w:color w:val="000000"/>
          <w:kern w:val="0"/>
          <w:sz w:val="32"/>
          <w:szCs w:val="32"/>
        </w:rPr>
        <w:t>四、关于部门决算分析报告撰写提纲</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1.删除分析报告第二部分“（一）收入支出预算安排情况”中的“年度执行中调整情况，调整原因说明”。</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2.根据部门决算报表修订情况，调整资产负债分析要求。</w:t>
      </w:r>
    </w:p>
    <w:p>
      <w:pPr>
        <w:widowControl/>
        <w:snapToGrid w:val="0"/>
        <w:spacing w:line="580" w:lineRule="exact"/>
        <w:ind w:firstLine="566" w:firstLineChars="177"/>
        <w:rPr>
          <w:rFonts w:ascii="黑体" w:hAnsi="黑体" w:eastAsia="黑体" w:cs="黑体"/>
          <w:color w:val="000000"/>
          <w:kern w:val="0"/>
          <w:sz w:val="32"/>
          <w:szCs w:val="32"/>
        </w:rPr>
      </w:pPr>
      <w:r>
        <w:rPr>
          <w:rFonts w:hint="eastAsia" w:ascii="黑体" w:hAnsi="黑体" w:eastAsia="黑体" w:cs="黑体"/>
          <w:color w:val="000000"/>
          <w:kern w:val="0"/>
          <w:sz w:val="32"/>
          <w:szCs w:val="32"/>
        </w:rPr>
        <w:t>五、关于部门决算分析评价表</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1.加强基本支出分析，增加“基本支出财政拨款分析表”。</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2.根据部门决算报表修订情况，将“年末结转和结余、事业单位基金结余分析表”修改为“年末结转和结余分析表”，删除“事业单位基金年末结余比上年增减情况”。</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3.优化人均指标分析，“人均支出分析表”中增加“单位性质”“单位预算级次”“人均工资福利支出”等明细指标；将“基本支出和项目支出”修改为“人均支出情况”，将“一般公共预算财政拨款基本支出和项目支出”修改为“一般公共预算财政拨款人均支出情况”；删除“离退休人员”、“人均离退休费”指标。</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 xml:space="preserve">4.根据部门决算报表修订情况，“机构和人员增减变动分析表”修改为“人员增减变动分析表”，删除“年末独立编制机构数”“编制人数”“在职人员占编制数%”；删除“年末实有人数”中行政人员、事业人员相关指标。 </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5.根据部门决算报表修订情况，调整“资产负债变动情况分析表”中资产、负债分析指标。</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6.进一步提高评价指标适用性，“部门决算量化评价表”删除了一个一级指标，调整了部分二级指标和三级指标权重，并修订了部分指标评分标准。其中：</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1）预算编制及执行情况增加至90分。“财政拨款收入预决算差异率”由5分增加至10分，预算编制的准确完整性增加至30分。“非财政拨款收入预决算差异率”（10分）细化为“事业收入预决算差异率”（5分）、“经营收入预决算差异率”（2分）、“其他收入预决算差异率”（3分）；删除“财政收回存量资金占上年财政拨款结转和结余比重”（5分），将“财政拨款结转和结余上下年变动率”拆分为“财政拨款结转上下年变动率”（10分）、“财政拨款结余上下年变动率”（5分），预算执行的有效性增加值50分。另外，预算编制及执行的规范性仍为10分。</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2）财务状况减少至10分。删除“资产类往来款变动率”（7分），增加“财政应返还额度变动率”（5分）；删除“负债类往来款变动率”（6分），增加“应缴财政款及时性”（1分），“事业单位借款变动率”（2分）修改为“借款变动率”（4分）。</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（3）删除“</w:t>
      </w:r>
      <w:bookmarkStart w:id="0" w:name="_GoBack"/>
      <w:bookmarkEnd w:id="0"/>
      <w:r>
        <w:rPr>
          <w:rFonts w:hint="eastAsia" w:ascii="仿宋_GB2312" w:hAnsi="黑体" w:eastAsia="仿宋_GB2312" w:cs="黑体"/>
          <w:color w:val="000000"/>
          <w:kern w:val="0"/>
          <w:sz w:val="32"/>
          <w:szCs w:val="32"/>
        </w:rPr>
        <w:t>人员情况”5分。</w:t>
      </w:r>
    </w:p>
    <w:p>
      <w:pPr>
        <w:widowControl/>
        <w:snapToGrid w:val="0"/>
        <w:spacing w:line="580" w:lineRule="exact"/>
        <w:ind w:firstLine="566" w:firstLineChars="177"/>
        <w:rPr>
          <w:rFonts w:ascii="黑体" w:hAnsi="黑体" w:eastAsia="黑体" w:cs="黑体"/>
          <w:color w:val="000000"/>
          <w:kern w:val="0"/>
          <w:sz w:val="32"/>
          <w:szCs w:val="32"/>
        </w:rPr>
      </w:pPr>
      <w:r>
        <w:rPr>
          <w:rFonts w:hint="eastAsia" w:ascii="黑体" w:hAnsi="黑体" w:eastAsia="黑体" w:cs="黑体"/>
          <w:color w:val="000000"/>
          <w:kern w:val="0"/>
          <w:sz w:val="32"/>
          <w:szCs w:val="32"/>
        </w:rPr>
        <w:t>六、关于部门决算编审问答</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1.根据部门决算报表修订情况，就事业基金有关栏目、民间非营利组织非财政拨款结余以及实行养老保险制度改革单位的离退休人员反映等新情况新问题，编写一期问答。</w:t>
      </w:r>
    </w:p>
    <w:p>
      <w:pPr>
        <w:widowControl/>
        <w:snapToGrid w:val="0"/>
        <w:spacing w:line="580" w:lineRule="exact"/>
        <w:ind w:firstLine="566" w:firstLineChars="177"/>
        <w:rPr>
          <w:rFonts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2.根据部门决算报表修订情况，修改以前年度编审问答汇编。</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139BD"/>
    <w:rsid w:val="0007210A"/>
    <w:rsid w:val="0008700A"/>
    <w:rsid w:val="000A6AFA"/>
    <w:rsid w:val="00106480"/>
    <w:rsid w:val="0013562A"/>
    <w:rsid w:val="00152302"/>
    <w:rsid w:val="00154377"/>
    <w:rsid w:val="00193DEC"/>
    <w:rsid w:val="001A53E0"/>
    <w:rsid w:val="001B169A"/>
    <w:rsid w:val="001D0944"/>
    <w:rsid w:val="001D1431"/>
    <w:rsid w:val="001D2444"/>
    <w:rsid w:val="001E5415"/>
    <w:rsid w:val="002066E4"/>
    <w:rsid w:val="002153FB"/>
    <w:rsid w:val="0024234D"/>
    <w:rsid w:val="00283480"/>
    <w:rsid w:val="00287322"/>
    <w:rsid w:val="002A2748"/>
    <w:rsid w:val="002A5684"/>
    <w:rsid w:val="002C5647"/>
    <w:rsid w:val="002E596D"/>
    <w:rsid w:val="0031361C"/>
    <w:rsid w:val="0031362E"/>
    <w:rsid w:val="00384813"/>
    <w:rsid w:val="003E11B5"/>
    <w:rsid w:val="003E5938"/>
    <w:rsid w:val="003F17D9"/>
    <w:rsid w:val="003F767D"/>
    <w:rsid w:val="0040279D"/>
    <w:rsid w:val="00410822"/>
    <w:rsid w:val="004215FE"/>
    <w:rsid w:val="004232CC"/>
    <w:rsid w:val="0046028B"/>
    <w:rsid w:val="00460F52"/>
    <w:rsid w:val="0047191E"/>
    <w:rsid w:val="00477504"/>
    <w:rsid w:val="004936FB"/>
    <w:rsid w:val="00495D0F"/>
    <w:rsid w:val="004A24B4"/>
    <w:rsid w:val="004D7D67"/>
    <w:rsid w:val="00515350"/>
    <w:rsid w:val="00515E25"/>
    <w:rsid w:val="00523512"/>
    <w:rsid w:val="00535C14"/>
    <w:rsid w:val="005B3F08"/>
    <w:rsid w:val="005E0852"/>
    <w:rsid w:val="006076D2"/>
    <w:rsid w:val="00632E16"/>
    <w:rsid w:val="00634B6E"/>
    <w:rsid w:val="00664627"/>
    <w:rsid w:val="006671D9"/>
    <w:rsid w:val="006D7720"/>
    <w:rsid w:val="006E78FA"/>
    <w:rsid w:val="00701BFF"/>
    <w:rsid w:val="00720682"/>
    <w:rsid w:val="00743B4F"/>
    <w:rsid w:val="0075104A"/>
    <w:rsid w:val="00771815"/>
    <w:rsid w:val="00771FC6"/>
    <w:rsid w:val="007D00D3"/>
    <w:rsid w:val="00802835"/>
    <w:rsid w:val="00846F0A"/>
    <w:rsid w:val="008541BE"/>
    <w:rsid w:val="008545AA"/>
    <w:rsid w:val="00856D6E"/>
    <w:rsid w:val="00897AF9"/>
    <w:rsid w:val="008A24B9"/>
    <w:rsid w:val="008C5FA5"/>
    <w:rsid w:val="00944F22"/>
    <w:rsid w:val="0095209E"/>
    <w:rsid w:val="0097095B"/>
    <w:rsid w:val="00982856"/>
    <w:rsid w:val="00990F0D"/>
    <w:rsid w:val="009E2013"/>
    <w:rsid w:val="00A01869"/>
    <w:rsid w:val="00A02015"/>
    <w:rsid w:val="00A0442C"/>
    <w:rsid w:val="00A266E1"/>
    <w:rsid w:val="00A27513"/>
    <w:rsid w:val="00AA24E6"/>
    <w:rsid w:val="00AE541C"/>
    <w:rsid w:val="00B11547"/>
    <w:rsid w:val="00B21085"/>
    <w:rsid w:val="00B97409"/>
    <w:rsid w:val="00BB3D88"/>
    <w:rsid w:val="00BD49C2"/>
    <w:rsid w:val="00BF66E1"/>
    <w:rsid w:val="00BF6CD8"/>
    <w:rsid w:val="00C139BD"/>
    <w:rsid w:val="00C331DE"/>
    <w:rsid w:val="00C779EA"/>
    <w:rsid w:val="00D122D7"/>
    <w:rsid w:val="00D203A8"/>
    <w:rsid w:val="00D46B5F"/>
    <w:rsid w:val="00DD4BED"/>
    <w:rsid w:val="00E14E9D"/>
    <w:rsid w:val="00E32D23"/>
    <w:rsid w:val="00E72259"/>
    <w:rsid w:val="00EB783C"/>
    <w:rsid w:val="00ED6D7F"/>
    <w:rsid w:val="00EF71E9"/>
    <w:rsid w:val="00F81CC9"/>
    <w:rsid w:val="00F90476"/>
    <w:rsid w:val="00FB72A4"/>
    <w:rsid w:val="00FD18C9"/>
    <w:rsid w:val="098E79F1"/>
    <w:rsid w:val="117863E5"/>
    <w:rsid w:val="14004F1B"/>
    <w:rsid w:val="25417794"/>
    <w:rsid w:val="260125D6"/>
    <w:rsid w:val="2F8871F9"/>
    <w:rsid w:val="2FB26A82"/>
    <w:rsid w:val="325C4EB9"/>
    <w:rsid w:val="33DC0DB3"/>
    <w:rsid w:val="344D73F7"/>
    <w:rsid w:val="35B72834"/>
    <w:rsid w:val="450176C1"/>
    <w:rsid w:val="4AD32572"/>
    <w:rsid w:val="4EEA1A94"/>
    <w:rsid w:val="50FA7BA1"/>
    <w:rsid w:val="5B551D62"/>
    <w:rsid w:val="758C73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B875F1-DD81-4116-98F6-56594E73759C}">
  <ds:schemaRefs/>
</ds:datastoreItem>
</file>

<file path=docProps/app.xml><?xml version="1.0" encoding="utf-8"?>
<Properties xmlns="http://schemas.openxmlformats.org/officeDocument/2006/extended-properties" xmlns:vt="http://schemas.openxmlformats.org/officeDocument/2006/docPropsVTypes">
  <Template>Normal</Template>
  <Pages>8</Pages>
  <Words>630</Words>
  <Characters>3592</Characters>
  <Lines>29</Lines>
  <Paragraphs>8</Paragraphs>
  <TotalTime>7</TotalTime>
  <ScaleCrop>false</ScaleCrop>
  <LinksUpToDate>false</LinksUpToDate>
  <CharactersWithSpaces>4214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2019-09-04T13:14:00Z</dcterms:created>
  <dc:creator>wm</dc:creator>
  <cp:lastModifiedBy>闻吉</cp:lastModifiedBy>
  <dcterms:modified xsi:type="dcterms:W3CDTF">2019-11-18T11:26:35Z</dcterms:modified>
  <dc:title>2019年度部门决算报表及相关资料拟变动情况</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